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2022年4月需缴纳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发明专利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年费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创新主体情况</w:t>
      </w:r>
    </w:p>
    <w:p/>
    <w:p/>
    <w:tbl>
      <w:tblPr>
        <w:tblW w:w="72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736"/>
        <w:gridCol w:w="1275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件数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专利权人类型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曹志远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郭振业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国网河南省电力公司漯河供电公司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河南倍佳润滑科技股份有限公司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河南和生食品有限公司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河南润金科技有限公司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河南三剑客农业股份有限公司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河南省电力公司漯河供电公司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河南省水利第一工程局集团有限公司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河南田康宝生物科技有限公司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河南亿博科技股份有限公司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河南中大恒源生物科技股份有限公司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黄豪杰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康付英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李玉祥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漯河恒丰机械制造科技有限公司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漯河俊展机械设备有限公司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漯河科莱堡科技有限公司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漯河联泰食品有限公司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漯河食品职业学院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漯河市第一人民医院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漯河市傅牌农业科技有限公司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漯河市高旗生物科技有限公司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漯河市慧光印刷科技有限公司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漯河市卫龙生物技术有限公司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漯河市谊加谊食品有限公司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漯河市质量技术检验测试中心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机关团体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漯河医学高等专科学校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漯河樱花包装材料有限公司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漯河职业技术学院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大专院校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宁夏善途建设景观有限公司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世林(漯河)冶金设备有限公司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舞阳威森生物医药有限公司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裕松源药业有限公司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中科花鹿农业发展有限公司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周彩云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both"/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注：具体专利信息可致电0395-311382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b/>
          <w:bCs/>
          <w:sz w:val="28"/>
          <w:szCs w:val="28"/>
          <w:lang w:eastAsia="zh-CN"/>
        </w:rPr>
        <w:t>市知识产权维权保护中心查询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YjMzZmU5OTkzOGI0MTgxZWVjY2UyNTUzZDRjODUifQ=="/>
  </w:docVars>
  <w:rsids>
    <w:rsidRoot w:val="62241B99"/>
    <w:rsid w:val="6224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2023-06-12T02:18:00Z</dcterms:created>
  <dc:creator>雨林风</dc:creator>
  <cp:lastModifiedBy>雨林风</cp:lastModifiedBy>
  <dcterms:modified xsi:type="dcterms:W3CDTF">2023-06-12T02:20:03Z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AB4B125EEDAD4BB08F32BCF719F9DD7E_11</vt:lpwstr>
  </property>
</Properties>
</file>