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
          <w:sz w:val="32"/>
          <w:szCs w:val="32"/>
        </w:rPr>
      </w:pPr>
      <w:bookmarkStart w:id="0" w:name="_GoBack"/>
      <w:bookmarkEnd w:id="0"/>
      <w:r>
        <w:rPr>
          <w:rFonts w:hint="eastAsia" w:ascii="黑体" w:hAnsi="黑体" w:eastAsia="黑体" w:cs="仿宋"/>
          <w:sz w:val="32"/>
          <w:szCs w:val="32"/>
        </w:rPr>
        <w:t>附 件</w:t>
      </w:r>
    </w:p>
    <w:p>
      <w:pPr>
        <w:spacing w:line="560" w:lineRule="exact"/>
        <w:ind w:firstLine="640" w:firstLineChars="200"/>
        <w:rPr>
          <w:rFonts w:ascii="仿宋_GB2312" w:hAnsi="仿宋" w:eastAsia="仿宋_GB2312" w:cs="仿宋"/>
          <w:sz w:val="32"/>
          <w:szCs w:val="32"/>
        </w:rPr>
      </w:pPr>
    </w:p>
    <w:p>
      <w:pPr>
        <w:spacing w:line="560" w:lineRule="exact"/>
        <w:ind w:firstLine="880" w:firstLineChars="200"/>
        <w:jc w:val="center"/>
        <w:rPr>
          <w:rFonts w:ascii="方正小标宋简体" w:hAnsi="仿宋" w:eastAsia="方正小标宋简体" w:cs="仿宋"/>
          <w:sz w:val="44"/>
          <w:szCs w:val="44"/>
        </w:rPr>
      </w:pPr>
      <w:r>
        <w:rPr>
          <w:rFonts w:hint="eastAsia" w:ascii="方正小标宋简体" w:eastAsia="方正小标宋简体"/>
          <w:sz w:val="44"/>
          <w:szCs w:val="44"/>
        </w:rPr>
        <w:t>2020年推动知识产权高质量发展任务清单</w:t>
      </w:r>
    </w:p>
    <w:p>
      <w:pPr>
        <w:spacing w:line="560" w:lineRule="exact"/>
        <w:ind w:firstLine="640" w:firstLineChars="200"/>
        <w:rPr>
          <w:rFonts w:ascii="仿宋_GB2312" w:hAnsi="仿宋" w:eastAsia="仿宋_GB2312" w:cs="仿宋"/>
          <w:sz w:val="32"/>
          <w:szCs w:val="32"/>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419"/>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835" w:type="dxa"/>
            <w:vAlign w:val="top"/>
          </w:tcPr>
          <w:p>
            <w:pPr>
              <w:pStyle w:val="7"/>
              <w:spacing w:before="87" w:line="351"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7" w:line="351" w:lineRule="exact"/>
              <w:ind w:left="3908" w:right="3290"/>
              <w:jc w:val="center"/>
              <w:rPr>
                <w:rFonts w:ascii="黑体" w:eastAsia="黑体"/>
                <w:sz w:val="28"/>
              </w:rPr>
            </w:pPr>
            <w:r>
              <w:rPr>
                <w:rFonts w:hint="eastAsia" w:ascii="黑体" w:eastAsia="黑体"/>
                <w:sz w:val="28"/>
              </w:rPr>
              <w:t>落实举措</w:t>
            </w:r>
          </w:p>
        </w:tc>
        <w:tc>
          <w:tcPr>
            <w:tcW w:w="2419" w:type="dxa"/>
            <w:vAlign w:val="top"/>
          </w:tcPr>
          <w:p>
            <w:pPr>
              <w:pStyle w:val="7"/>
              <w:spacing w:before="87" w:line="351" w:lineRule="exact"/>
              <w:ind w:left="527"/>
              <w:rPr>
                <w:rFonts w:ascii="黑体" w:eastAsia="黑体"/>
                <w:sz w:val="28"/>
              </w:rPr>
            </w:pPr>
            <w:r>
              <w:rPr>
                <w:rFonts w:hint="eastAsia" w:ascii="黑体" w:eastAsia="黑体"/>
                <w:sz w:val="28"/>
              </w:rPr>
              <w:t>执行部门</w:t>
            </w:r>
          </w:p>
        </w:tc>
        <w:tc>
          <w:tcPr>
            <w:tcW w:w="1265" w:type="dxa"/>
            <w:vAlign w:val="top"/>
          </w:tcPr>
          <w:p>
            <w:pPr>
              <w:pStyle w:val="7"/>
              <w:spacing w:before="87"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887" w:type="dxa"/>
            <w:gridSpan w:val="4"/>
            <w:vAlign w:val="top"/>
          </w:tcPr>
          <w:p>
            <w:pPr>
              <w:pStyle w:val="7"/>
              <w:spacing w:before="85" w:line="353" w:lineRule="exact"/>
              <w:ind w:left="5767" w:right="5146"/>
              <w:jc w:val="center"/>
              <w:rPr>
                <w:rFonts w:ascii="黑体" w:eastAsia="黑体"/>
                <w:sz w:val="28"/>
              </w:rPr>
            </w:pPr>
            <w:r>
              <w:rPr>
                <w:rFonts w:hint="eastAsia" w:ascii="黑体" w:eastAsia="黑体"/>
                <w:sz w:val="28"/>
              </w:rPr>
              <w:t>一、全面强化知识产权保护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2835" w:type="dxa"/>
            <w:vAlign w:val="top"/>
          </w:tcPr>
          <w:p>
            <w:pPr>
              <w:pStyle w:val="7"/>
              <w:spacing w:line="480" w:lineRule="exact"/>
              <w:rPr>
                <w:rFonts w:ascii="PMingLiU"/>
                <w:sz w:val="24"/>
              </w:rPr>
            </w:pPr>
          </w:p>
          <w:p>
            <w:pPr>
              <w:pStyle w:val="7"/>
              <w:spacing w:line="480" w:lineRule="exact"/>
              <w:rPr>
                <w:rFonts w:ascii="PMingLiU"/>
                <w:sz w:val="24"/>
              </w:rPr>
            </w:pPr>
          </w:p>
          <w:p>
            <w:pPr>
              <w:pStyle w:val="7"/>
              <w:spacing w:line="480" w:lineRule="exact"/>
              <w:ind w:left="107" w:right="44"/>
              <w:rPr>
                <w:sz w:val="24"/>
              </w:rPr>
            </w:pPr>
            <w:r>
              <w:rPr>
                <w:sz w:val="24"/>
              </w:rPr>
              <w:t>1</w:t>
            </w:r>
            <w:r>
              <w:rPr>
                <w:spacing w:val="-18"/>
                <w:sz w:val="24"/>
              </w:rPr>
              <w:t>.高标准落实《关于强</w:t>
            </w:r>
            <w:r>
              <w:rPr>
                <w:spacing w:val="14"/>
                <w:sz w:val="24"/>
              </w:rPr>
              <w:t>化知识产权保护的意见》</w:t>
            </w:r>
          </w:p>
        </w:tc>
        <w:tc>
          <w:tcPr>
            <w:tcW w:w="8368" w:type="dxa"/>
            <w:vAlign w:val="center"/>
          </w:tcPr>
          <w:p>
            <w:pPr>
              <w:pStyle w:val="7"/>
              <w:spacing w:line="480" w:lineRule="exact"/>
              <w:ind w:left="107" w:right="43" w:firstLine="559"/>
              <w:jc w:val="left"/>
              <w:rPr>
                <w:sz w:val="24"/>
                <w:lang w:val="en-US"/>
              </w:rPr>
            </w:pPr>
            <w:r>
              <w:rPr>
                <w:rFonts w:hint="eastAsia"/>
                <w:sz w:val="24"/>
              </w:rPr>
              <w:t>牵头起草贯彻落实《关于强化知识产权保护的意见》，组织召开专家座谈会，广泛征求专家和相关职能部门的意见建议，</w:t>
            </w:r>
            <w:r>
              <w:rPr>
                <w:rFonts w:hint="eastAsia"/>
                <w:sz w:val="24"/>
                <w:lang w:val="en-US"/>
              </w:rPr>
              <w:t>推动出台《关于强化知识产权保护的实施意见》，推动将知识产权保护工作纳入地方党委和政府重要议事日程，纳入地方党委政府的绩效考核和营商环境评价体系。</w:t>
            </w:r>
          </w:p>
          <w:p>
            <w:pPr>
              <w:pStyle w:val="7"/>
              <w:spacing w:line="480" w:lineRule="exact"/>
              <w:ind w:left="107" w:right="43" w:firstLine="559"/>
              <w:jc w:val="left"/>
              <w:rPr>
                <w:sz w:val="24"/>
              </w:rPr>
            </w:pPr>
            <w:r>
              <w:rPr>
                <w:rFonts w:hint="eastAsia"/>
                <w:sz w:val="24"/>
                <w:lang w:val="en-US"/>
              </w:rPr>
              <w:t>认真落实知识产权保护属地责任，加强体制机制建设，制定配套措施，加强综合保障，确保任务落实。</w:t>
            </w:r>
          </w:p>
        </w:tc>
        <w:tc>
          <w:tcPr>
            <w:tcW w:w="241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省级：知识产权保护处、法律事务处</w:t>
            </w:r>
          </w:p>
          <w:p>
            <w:pPr>
              <w:spacing w:line="520" w:lineRule="exact"/>
              <w:jc w:val="center"/>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265" w:type="dxa"/>
            <w:vAlign w:val="center"/>
          </w:tcPr>
          <w:p>
            <w:pPr>
              <w:spacing w:line="560" w:lineRule="exact"/>
              <w:jc w:val="center"/>
              <w:rPr>
                <w:rFonts w:ascii="仿宋_GB2312" w:eastAsia="仿宋_GB2312"/>
                <w:sz w:val="24"/>
                <w:szCs w:val="24"/>
              </w:rPr>
            </w:pPr>
          </w:p>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2835" w:type="dxa"/>
            <w:vAlign w:val="top"/>
          </w:tcPr>
          <w:p>
            <w:pPr>
              <w:pStyle w:val="7"/>
              <w:spacing w:line="480" w:lineRule="exact"/>
              <w:rPr>
                <w:rFonts w:ascii="PMingLiU"/>
                <w:sz w:val="24"/>
              </w:rPr>
            </w:pPr>
          </w:p>
          <w:p>
            <w:pPr>
              <w:pStyle w:val="7"/>
              <w:spacing w:line="480" w:lineRule="exact"/>
              <w:rPr>
                <w:rFonts w:ascii="PMingLiU"/>
                <w:sz w:val="24"/>
              </w:rPr>
            </w:pPr>
          </w:p>
          <w:p>
            <w:pPr>
              <w:pStyle w:val="7"/>
              <w:spacing w:line="480" w:lineRule="exact"/>
              <w:ind w:left="107" w:right="46"/>
              <w:rPr>
                <w:sz w:val="24"/>
              </w:rPr>
            </w:pPr>
            <w:r>
              <w:rPr>
                <w:sz w:val="24"/>
              </w:rPr>
              <w:t>2.加快构建知识产权大保护工作格局</w:t>
            </w:r>
          </w:p>
        </w:tc>
        <w:tc>
          <w:tcPr>
            <w:tcW w:w="8368" w:type="dxa"/>
            <w:vAlign w:val="center"/>
          </w:tcPr>
          <w:p>
            <w:pPr>
              <w:pStyle w:val="7"/>
              <w:spacing w:line="460" w:lineRule="exact"/>
              <w:ind w:left="107" w:right="42" w:firstLine="559"/>
              <w:rPr>
                <w:sz w:val="24"/>
              </w:rPr>
            </w:pPr>
            <w:r>
              <w:rPr>
                <w:rFonts w:hint="eastAsia"/>
                <w:sz w:val="24"/>
                <w:lang w:val="en-US"/>
              </w:rPr>
              <w:t>加强知识产权快速协同保护机构建设的前期需求研判工作。</w:t>
            </w:r>
            <w:r>
              <w:rPr>
                <w:rFonts w:hint="eastAsia"/>
                <w:sz w:val="24"/>
              </w:rPr>
              <w:t>认真落实专利领域严重失信联合惩戒对象名单管理办法，加大对非正常专利申请、非正常商标注册申请行为的打击力度。推进知识产权仲裁调解工作。</w:t>
            </w:r>
          </w:p>
          <w:p>
            <w:pPr>
              <w:widowControl/>
              <w:spacing w:line="460" w:lineRule="exact"/>
              <w:ind w:firstLine="480" w:firstLineChars="200"/>
              <w:rPr>
                <w:sz w:val="24"/>
                <w:szCs w:val="24"/>
              </w:rPr>
            </w:pPr>
            <w:r>
              <w:rPr>
                <w:rFonts w:hint="eastAsia" w:ascii="仿宋_GB2312" w:hAnsi="仿宋_GB2312" w:eastAsia="仿宋_GB2312" w:cs="仿宋_GB2312"/>
                <w:sz w:val="24"/>
                <w:szCs w:val="24"/>
              </w:rPr>
              <w:t>积极推动省级知识产权保护中心申建，推进中国（新乡）知识产权保护中心建设发展，支持洛阳申建知识产权保护中心，探索布局产业集聚区知识产权保护中心，</w:t>
            </w:r>
            <w:r>
              <w:rPr>
                <w:rFonts w:hint="eastAsia" w:ascii="仿宋_GB2312" w:hAnsi="仿宋_GB2312" w:eastAsia="仿宋_GB2312" w:cs="仿宋_GB2312"/>
                <w:sz w:val="24"/>
                <w:szCs w:val="24"/>
                <w:lang w:bidi="zh-CN"/>
              </w:rPr>
              <w:t>优化中心的业务运行流程，为创新主体、市场主体提供</w:t>
            </w:r>
            <w:r>
              <w:rPr>
                <w:rFonts w:hint="eastAsia" w:ascii="仿宋_GB2312" w:hAnsi="仿宋_GB2312" w:eastAsia="仿宋_GB2312" w:cs="仿宋_GB2312"/>
                <w:sz w:val="24"/>
                <w:szCs w:val="24"/>
              </w:rPr>
              <w:t>快速审查、快速确权、快速维权“一站式”纠纷解决方案</w:t>
            </w:r>
            <w:r>
              <w:rPr>
                <w:rFonts w:hint="eastAsia" w:ascii="仿宋_GB2312" w:hAnsi="仿宋_GB2312" w:eastAsia="仿宋_GB2312" w:cs="仿宋_GB2312"/>
                <w:sz w:val="24"/>
                <w:szCs w:val="24"/>
                <w:lang w:bidi="zh-CN"/>
              </w:rPr>
              <w:t>。</w:t>
            </w:r>
          </w:p>
        </w:tc>
        <w:tc>
          <w:tcPr>
            <w:tcW w:w="241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省级：知识产权保护处、知识产权促进处、法律事务处、专利代办处</w:t>
            </w:r>
          </w:p>
          <w:p>
            <w:pPr>
              <w:spacing w:line="520" w:lineRule="exact"/>
              <w:jc w:val="center"/>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265" w:type="dxa"/>
            <w:vAlign w:val="center"/>
          </w:tcPr>
          <w:p>
            <w:pPr>
              <w:spacing w:line="560" w:lineRule="exact"/>
              <w:jc w:val="center"/>
              <w:rPr>
                <w:rFonts w:ascii="仿宋_GB2312" w:eastAsia="仿宋_GB2312"/>
                <w:sz w:val="24"/>
                <w:szCs w:val="24"/>
              </w:rPr>
            </w:pPr>
          </w:p>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rPr>
                <w:rFonts w:ascii="仿宋_GB2312" w:eastAsia="仿宋_GB2312"/>
                <w:sz w:val="24"/>
                <w:szCs w:val="24"/>
              </w:rPr>
            </w:pPr>
            <w:r>
              <w:rPr>
                <w:rFonts w:hint="eastAsia" w:ascii="仿宋_GB2312" w:eastAsia="仿宋_GB2312"/>
                <w:sz w:val="24"/>
                <w:szCs w:val="24"/>
              </w:rPr>
              <w:t>成果</w:t>
            </w:r>
          </w:p>
        </w:tc>
      </w:tr>
    </w:tbl>
    <w:p>
      <w:pPr>
        <w:spacing w:line="268" w:lineRule="auto"/>
        <w:sectPr>
          <w:pgSz w:w="16840" w:h="11910" w:orient="landscape"/>
          <w:pgMar w:top="1100" w:right="940" w:bottom="1500" w:left="780" w:header="720" w:footer="720" w:gutter="0"/>
          <w:cols w:space="720" w:num="1"/>
        </w:sectPr>
      </w:pPr>
    </w:p>
    <w:p>
      <w:pPr>
        <w:pStyle w:val="2"/>
        <w:ind w:left="5250"/>
        <w:rPr>
          <w:rFonts w:ascii="Times New Roman"/>
          <w:sz w:val="20"/>
        </w:r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26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480"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4" w:line="480" w:lineRule="exact"/>
              <w:ind w:left="3908" w:right="3290"/>
              <w:jc w:val="center"/>
              <w:rPr>
                <w:rFonts w:ascii="黑体" w:eastAsia="黑体"/>
                <w:sz w:val="28"/>
              </w:rPr>
            </w:pPr>
            <w:r>
              <w:rPr>
                <w:rFonts w:hint="eastAsia" w:ascii="黑体" w:eastAsia="黑体"/>
                <w:sz w:val="28"/>
              </w:rPr>
              <w:t>落实举措</w:t>
            </w:r>
          </w:p>
        </w:tc>
        <w:tc>
          <w:tcPr>
            <w:tcW w:w="2262" w:type="dxa"/>
            <w:vAlign w:val="top"/>
          </w:tcPr>
          <w:p>
            <w:pPr>
              <w:pStyle w:val="7"/>
              <w:spacing w:before="84" w:line="480" w:lineRule="exact"/>
              <w:ind w:left="527"/>
              <w:rPr>
                <w:rFonts w:ascii="黑体" w:eastAsia="黑体"/>
                <w:sz w:val="28"/>
              </w:rPr>
            </w:pPr>
            <w:r>
              <w:rPr>
                <w:rFonts w:hint="eastAsia" w:ascii="黑体" w:eastAsia="黑体"/>
                <w:sz w:val="28"/>
              </w:rPr>
              <w:t>执行部门</w:t>
            </w:r>
          </w:p>
        </w:tc>
        <w:tc>
          <w:tcPr>
            <w:tcW w:w="1422" w:type="dxa"/>
            <w:vAlign w:val="top"/>
          </w:tcPr>
          <w:p>
            <w:pPr>
              <w:pStyle w:val="7"/>
              <w:spacing w:before="84" w:line="480"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2835" w:type="dxa"/>
            <w:vAlign w:val="center"/>
          </w:tcPr>
          <w:p>
            <w:pPr>
              <w:spacing w:line="480" w:lineRule="exact"/>
              <w:rPr>
                <w:rFonts w:ascii="仿宋_GB2312" w:eastAsia="仿宋_GB2312"/>
                <w:sz w:val="24"/>
                <w:szCs w:val="24"/>
              </w:rPr>
            </w:pPr>
            <w:r>
              <w:rPr>
                <w:rFonts w:hint="eastAsia" w:ascii="仿宋_GB2312" w:eastAsia="仿宋_GB2312"/>
                <w:sz w:val="24"/>
                <w:szCs w:val="24"/>
              </w:rPr>
              <w:t>3.建立健全知识产权执法保护业务指导体系</w:t>
            </w:r>
          </w:p>
        </w:tc>
        <w:tc>
          <w:tcPr>
            <w:tcW w:w="8368"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加强跨区域执法保护，形成工作合力。严格执行商标专利有关侵权判断标准，强化指导案例运用，推进执法标准严格统一。组织开展知识产权执法“铁拳”行动，持续开展关键领域、重点环节、重点群体行政执法专项行动， 进一步加大侵犯知识产权行为查处力度。</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有条件的地区要积极申报侵权纠纷行政裁决试点示范。</w:t>
            </w:r>
          </w:p>
        </w:tc>
        <w:tc>
          <w:tcPr>
            <w:tcW w:w="2262" w:type="dxa"/>
            <w:vAlign w:val="center"/>
          </w:tcPr>
          <w:p>
            <w:pPr>
              <w:spacing w:line="480" w:lineRule="exact"/>
              <w:rPr>
                <w:rFonts w:ascii="仿宋_GB2312" w:eastAsia="仿宋_GB2312"/>
                <w:sz w:val="24"/>
                <w:szCs w:val="24"/>
              </w:rPr>
            </w:pPr>
            <w:r>
              <w:rPr>
                <w:rFonts w:hint="eastAsia" w:ascii="仿宋_GB2312" w:eastAsia="仿宋_GB2312"/>
                <w:sz w:val="24"/>
                <w:szCs w:val="24"/>
              </w:rPr>
              <w:t>省级：知识产权保护处、法律事务处</w:t>
            </w:r>
          </w:p>
          <w:p>
            <w:pPr>
              <w:spacing w:line="48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422" w:type="dxa"/>
            <w:vAlign w:val="center"/>
          </w:tcPr>
          <w:p>
            <w:pPr>
              <w:spacing w:line="480" w:lineRule="exact"/>
              <w:jc w:val="center"/>
              <w:rPr>
                <w:rFonts w:ascii="仿宋_GB2312" w:eastAsia="仿宋_GB2312"/>
                <w:sz w:val="24"/>
                <w:szCs w:val="24"/>
              </w:rPr>
            </w:pPr>
            <w:r>
              <w:rPr>
                <w:rFonts w:hint="eastAsia" w:ascii="仿宋_GB2312" w:eastAsia="仿宋_GB2312"/>
                <w:sz w:val="24"/>
                <w:szCs w:val="24"/>
              </w:rPr>
              <w:t>年内有</w:t>
            </w:r>
          </w:p>
          <w:p>
            <w:pPr>
              <w:spacing w:line="480" w:lineRule="exact"/>
              <w:jc w:val="center"/>
              <w:rPr>
                <w:rFonts w:ascii="仿宋_GB2312" w:eastAsia="仿宋_GB2312"/>
                <w:sz w:val="24"/>
                <w:szCs w:val="24"/>
              </w:rPr>
            </w:pPr>
            <w:r>
              <w:rPr>
                <w:rFonts w:hint="eastAsia" w:ascii="仿宋_GB2312" w:eastAsia="仿宋_GB2312"/>
                <w:sz w:val="24"/>
                <w:szCs w:val="24"/>
              </w:rPr>
              <w:t>阶段性</w:t>
            </w:r>
          </w:p>
          <w:p>
            <w:pPr>
              <w:spacing w:line="48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3" w:hRule="atLeast"/>
        </w:trPr>
        <w:tc>
          <w:tcPr>
            <w:tcW w:w="2835" w:type="dxa"/>
            <w:vAlign w:val="center"/>
          </w:tcPr>
          <w:p>
            <w:pPr>
              <w:spacing w:line="480" w:lineRule="exact"/>
              <w:rPr>
                <w:rFonts w:ascii="仿宋_GB2312" w:eastAsia="仿宋_GB2312"/>
                <w:sz w:val="24"/>
                <w:szCs w:val="24"/>
              </w:rPr>
            </w:pPr>
            <w:r>
              <w:rPr>
                <w:rFonts w:hint="eastAsia" w:ascii="仿宋_GB2312" w:eastAsia="仿宋_GB2312"/>
                <w:sz w:val="24"/>
                <w:szCs w:val="24"/>
              </w:rPr>
              <w:t>4.加强知识产权执法保护能力建设</w:t>
            </w:r>
          </w:p>
        </w:tc>
        <w:tc>
          <w:tcPr>
            <w:tcW w:w="8368"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加强知识产权行政执法队伍的专业培训，提高侵权假冒识别侵权判定专业能力。探索运用“互联网+”、大数据等高技术手段辅助开展知识产权执法保护。</w:t>
            </w:r>
          </w:p>
          <w:p>
            <w:pPr>
              <w:spacing w:line="480" w:lineRule="exact"/>
              <w:rPr>
                <w:rFonts w:ascii="仿宋_GB2312" w:eastAsia="仿宋_GB2312"/>
                <w:sz w:val="24"/>
                <w:szCs w:val="24"/>
              </w:rPr>
            </w:pPr>
            <w:r>
              <w:rPr>
                <w:rFonts w:hint="eastAsia" w:ascii="仿宋_GB2312" w:eastAsia="仿宋_GB2312"/>
                <w:sz w:val="24"/>
                <w:szCs w:val="24"/>
              </w:rPr>
              <w:t>探索建立国家海外知识产权纠纷应对指导中心地方分中心，加强对外贸企业知识产权保护的指导。</w:t>
            </w:r>
          </w:p>
        </w:tc>
        <w:tc>
          <w:tcPr>
            <w:tcW w:w="2262" w:type="dxa"/>
            <w:vAlign w:val="center"/>
          </w:tcPr>
          <w:p>
            <w:pPr>
              <w:spacing w:line="480" w:lineRule="exact"/>
              <w:rPr>
                <w:rFonts w:ascii="仿宋_GB2312" w:eastAsia="仿宋_GB2312"/>
                <w:sz w:val="24"/>
                <w:szCs w:val="24"/>
              </w:rPr>
            </w:pPr>
            <w:r>
              <w:rPr>
                <w:rFonts w:hint="eastAsia" w:ascii="仿宋_GB2312" w:eastAsia="仿宋_GB2312"/>
                <w:sz w:val="24"/>
                <w:szCs w:val="24"/>
              </w:rPr>
              <w:t>省级：知识产权保护处、法律事务处</w:t>
            </w:r>
          </w:p>
          <w:p>
            <w:pPr>
              <w:spacing w:line="48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422" w:type="dxa"/>
            <w:vAlign w:val="center"/>
          </w:tcPr>
          <w:p>
            <w:pPr>
              <w:spacing w:line="480" w:lineRule="exact"/>
              <w:jc w:val="center"/>
              <w:rPr>
                <w:rFonts w:ascii="仿宋_GB2312" w:eastAsia="仿宋_GB2312"/>
                <w:sz w:val="24"/>
                <w:szCs w:val="24"/>
              </w:rPr>
            </w:pPr>
            <w:r>
              <w:rPr>
                <w:rFonts w:hint="eastAsia" w:ascii="仿宋_GB2312" w:eastAsia="仿宋_GB2312"/>
                <w:sz w:val="24"/>
                <w:szCs w:val="24"/>
              </w:rPr>
              <w:t>年内有</w:t>
            </w:r>
          </w:p>
          <w:p>
            <w:pPr>
              <w:spacing w:line="480" w:lineRule="exact"/>
              <w:jc w:val="center"/>
              <w:rPr>
                <w:rFonts w:ascii="仿宋_GB2312" w:eastAsia="仿宋_GB2312"/>
                <w:sz w:val="24"/>
                <w:szCs w:val="24"/>
              </w:rPr>
            </w:pPr>
            <w:r>
              <w:rPr>
                <w:rFonts w:hint="eastAsia" w:ascii="仿宋_GB2312" w:eastAsia="仿宋_GB2312"/>
                <w:sz w:val="24"/>
                <w:szCs w:val="24"/>
              </w:rPr>
              <w:t>阶段性</w:t>
            </w:r>
          </w:p>
          <w:p>
            <w:pPr>
              <w:spacing w:line="48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2835" w:type="dxa"/>
            <w:vAlign w:val="center"/>
          </w:tcPr>
          <w:p>
            <w:pPr>
              <w:spacing w:line="480" w:lineRule="exact"/>
              <w:rPr>
                <w:rFonts w:ascii="仿宋_GB2312" w:eastAsia="仿宋_GB2312"/>
                <w:sz w:val="24"/>
                <w:szCs w:val="24"/>
              </w:rPr>
            </w:pPr>
            <w:r>
              <w:rPr>
                <w:rFonts w:hint="eastAsia" w:ascii="仿宋_GB2312" w:eastAsia="仿宋_GB2312"/>
                <w:sz w:val="24"/>
                <w:szCs w:val="24"/>
              </w:rPr>
              <w:t>5.做好地理标志和官方标志的保护工作</w:t>
            </w:r>
          </w:p>
        </w:tc>
        <w:tc>
          <w:tcPr>
            <w:tcW w:w="8368"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加强地理标志保护工作，进一步规范地理标志专用标志使用，有效打击地理标志侵权违法行为。持续强化知识产权保护对各类展会、赛事活动等大型活动的保障工作。</w:t>
            </w:r>
          </w:p>
        </w:tc>
        <w:tc>
          <w:tcPr>
            <w:tcW w:w="2262" w:type="dxa"/>
            <w:vAlign w:val="center"/>
          </w:tcPr>
          <w:p>
            <w:pPr>
              <w:spacing w:line="480" w:lineRule="exact"/>
              <w:rPr>
                <w:rFonts w:ascii="仿宋_GB2312" w:eastAsia="仿宋_GB2312"/>
                <w:sz w:val="24"/>
                <w:szCs w:val="24"/>
              </w:rPr>
            </w:pPr>
            <w:r>
              <w:rPr>
                <w:rFonts w:hint="eastAsia" w:ascii="仿宋_GB2312" w:eastAsia="仿宋_GB2312"/>
                <w:sz w:val="24"/>
                <w:szCs w:val="24"/>
              </w:rPr>
              <w:t>省级：知识产权保护处、知识产权促进处</w:t>
            </w:r>
          </w:p>
          <w:p>
            <w:pPr>
              <w:spacing w:line="48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422" w:type="dxa"/>
            <w:vAlign w:val="center"/>
          </w:tcPr>
          <w:p>
            <w:pPr>
              <w:spacing w:line="480" w:lineRule="exact"/>
              <w:jc w:val="center"/>
              <w:rPr>
                <w:rFonts w:ascii="仿宋_GB2312" w:eastAsia="仿宋_GB2312"/>
                <w:sz w:val="24"/>
                <w:szCs w:val="24"/>
              </w:rPr>
            </w:pPr>
            <w:r>
              <w:rPr>
                <w:rFonts w:hint="eastAsia" w:ascii="仿宋_GB2312" w:eastAsia="仿宋_GB2312"/>
                <w:sz w:val="24"/>
                <w:szCs w:val="24"/>
              </w:rPr>
              <w:t>年内有</w:t>
            </w:r>
          </w:p>
          <w:p>
            <w:pPr>
              <w:spacing w:line="480" w:lineRule="exact"/>
              <w:jc w:val="center"/>
              <w:rPr>
                <w:rFonts w:ascii="仿宋_GB2312" w:eastAsia="仿宋_GB2312"/>
                <w:sz w:val="24"/>
                <w:szCs w:val="24"/>
              </w:rPr>
            </w:pPr>
            <w:r>
              <w:rPr>
                <w:rFonts w:hint="eastAsia" w:ascii="仿宋_GB2312" w:eastAsia="仿宋_GB2312"/>
                <w:sz w:val="24"/>
                <w:szCs w:val="24"/>
              </w:rPr>
              <w:t>阶段性</w:t>
            </w:r>
          </w:p>
          <w:p>
            <w:pPr>
              <w:spacing w:line="480" w:lineRule="exact"/>
              <w:jc w:val="center"/>
              <w:rPr>
                <w:rFonts w:ascii="仿宋_GB2312" w:eastAsia="仿宋_GB2312"/>
                <w:sz w:val="24"/>
                <w:szCs w:val="24"/>
              </w:rPr>
            </w:pPr>
            <w:r>
              <w:rPr>
                <w:rFonts w:hint="eastAsia" w:ascii="仿宋_GB2312" w:eastAsia="仿宋_GB2312"/>
                <w:sz w:val="24"/>
                <w:szCs w:val="24"/>
              </w:rPr>
              <w:t>成果</w:t>
            </w:r>
          </w:p>
        </w:tc>
      </w:tr>
    </w:tbl>
    <w:p>
      <w:pPr>
        <w:spacing w:line="268" w:lineRule="auto"/>
        <w:sectPr>
          <w:pgSz w:w="16840" w:h="11910" w:orient="landscape"/>
          <w:pgMar w:top="1100" w:right="940" w:bottom="1500" w:left="780" w:header="0" w:footer="1313" w:gutter="0"/>
          <w:cols w:space="720" w:num="1"/>
        </w:sectPr>
      </w:pPr>
    </w:p>
    <w:p>
      <w:pPr>
        <w:pStyle w:val="2"/>
        <w:ind w:left="5250"/>
        <w:rPr>
          <w:rFonts w:ascii="Times New Roman"/>
          <w:sz w:val="20"/>
        </w:r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2"/>
        <w:gridCol w:w="2262"/>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362"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262"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42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887" w:type="dxa"/>
            <w:gridSpan w:val="4"/>
            <w:vAlign w:val="top"/>
          </w:tcPr>
          <w:p>
            <w:pPr>
              <w:pStyle w:val="7"/>
              <w:spacing w:before="87" w:line="351" w:lineRule="exact"/>
              <w:ind w:left="5767" w:right="5149"/>
              <w:jc w:val="center"/>
              <w:rPr>
                <w:rFonts w:ascii="黑体" w:eastAsia="黑体"/>
                <w:sz w:val="28"/>
              </w:rPr>
            </w:pPr>
            <w:r>
              <w:rPr>
                <w:rFonts w:hint="eastAsia" w:ascii="黑体" w:eastAsia="黑体"/>
                <w:sz w:val="28"/>
              </w:rPr>
              <w:t>二、推进知识产权审查提质增效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8" w:hRule="atLeast"/>
        </w:trPr>
        <w:tc>
          <w:tcPr>
            <w:tcW w:w="2835" w:type="dxa"/>
            <w:vAlign w:val="center"/>
          </w:tcPr>
          <w:p>
            <w:pPr>
              <w:spacing w:line="560" w:lineRule="exact"/>
              <w:rPr>
                <w:rFonts w:ascii="仿宋_GB2312" w:eastAsia="仿宋_GB2312"/>
                <w:sz w:val="24"/>
                <w:szCs w:val="24"/>
              </w:rPr>
            </w:pPr>
            <w:r>
              <w:rPr>
                <w:rFonts w:hint="eastAsia" w:ascii="仿宋_GB2312" w:eastAsia="仿宋_GB2312"/>
                <w:sz w:val="24"/>
                <w:szCs w:val="24"/>
              </w:rPr>
              <w:t>6.持续提升专利审查质量和效率</w:t>
            </w:r>
          </w:p>
        </w:tc>
        <w:tc>
          <w:tcPr>
            <w:tcW w:w="8362" w:type="dxa"/>
            <w:vAlign w:val="center"/>
          </w:tcPr>
          <w:p>
            <w:pPr>
              <w:pStyle w:val="7"/>
              <w:spacing w:line="520" w:lineRule="exact"/>
              <w:ind w:left="107" w:right="42" w:firstLine="559"/>
              <w:jc w:val="left"/>
              <w:rPr>
                <w:sz w:val="24"/>
              </w:rPr>
            </w:pPr>
          </w:p>
          <w:p>
            <w:pPr>
              <w:pStyle w:val="7"/>
              <w:spacing w:line="520" w:lineRule="exact"/>
              <w:ind w:left="107" w:right="42" w:firstLine="559"/>
              <w:jc w:val="left"/>
              <w:rPr>
                <w:sz w:val="24"/>
              </w:rPr>
            </w:pPr>
            <w:r>
              <w:rPr>
                <w:rFonts w:hint="eastAsia"/>
                <w:sz w:val="24"/>
              </w:rPr>
              <w:t>相关地区要严把保护中心预审和专利优先审查的质量关，提高实用新型、外观设计申请优先审查的审批标准，强化专利申请质量监测，及时将发现的非正常申请线索报送国家局。</w:t>
            </w:r>
          </w:p>
          <w:p>
            <w:pPr>
              <w:pStyle w:val="7"/>
              <w:spacing w:line="520" w:lineRule="exact"/>
              <w:ind w:left="107" w:right="42" w:firstLine="559"/>
              <w:jc w:val="left"/>
              <w:rPr>
                <w:sz w:val="24"/>
                <w:szCs w:val="28"/>
              </w:rPr>
            </w:pPr>
            <w:r>
              <w:rPr>
                <w:rFonts w:hint="eastAsia"/>
                <w:sz w:val="24"/>
                <w:szCs w:val="28"/>
              </w:rPr>
              <w:t>严格按照国家知识产权局《专利优先审查管理办法》（2017)(第76号)规定，对符合特定产业领域、具备相应实施基础、首次中国专利申请等需要优先审查的六种类型向国家局推荐优先审查。</w:t>
            </w:r>
          </w:p>
          <w:p>
            <w:pPr>
              <w:pStyle w:val="7"/>
              <w:spacing w:line="520" w:lineRule="exact"/>
              <w:ind w:left="107" w:right="42" w:firstLine="559"/>
              <w:jc w:val="left"/>
              <w:rPr>
                <w:sz w:val="24"/>
                <w:szCs w:val="28"/>
              </w:rPr>
            </w:pPr>
          </w:p>
          <w:p>
            <w:pPr>
              <w:pStyle w:val="7"/>
              <w:spacing w:line="520" w:lineRule="exact"/>
              <w:ind w:left="107" w:right="42" w:firstLine="559"/>
              <w:jc w:val="left"/>
              <w:rPr>
                <w:rFonts w:eastAsia="仿宋"/>
                <w:sz w:val="24"/>
              </w:rPr>
            </w:pPr>
          </w:p>
        </w:tc>
        <w:tc>
          <w:tcPr>
            <w:tcW w:w="2262" w:type="dxa"/>
            <w:vAlign w:val="center"/>
          </w:tcPr>
          <w:p>
            <w:pPr>
              <w:pStyle w:val="7"/>
              <w:spacing w:line="520" w:lineRule="exact"/>
              <w:jc w:val="left"/>
              <w:rPr>
                <w:rFonts w:ascii="Times New Roman"/>
                <w:sz w:val="24"/>
              </w:rPr>
            </w:pPr>
            <w:r>
              <w:rPr>
                <w:rFonts w:hint="eastAsia"/>
                <w:sz w:val="24"/>
              </w:rPr>
              <w:t>省级：知识产权保护处、法律事务处、专利代办处</w:t>
            </w:r>
          </w:p>
          <w:p>
            <w:pPr>
              <w:pStyle w:val="7"/>
              <w:spacing w:line="520" w:lineRule="exact"/>
              <w:ind w:left="107" w:right="43"/>
              <w:jc w:val="left"/>
              <w:rPr>
                <w:sz w:val="24"/>
              </w:rPr>
            </w:pPr>
            <w:r>
              <w:rPr>
                <w:rFonts w:hint="eastAsia"/>
                <w:sz w:val="24"/>
              </w:rPr>
              <w:t>地市：涉及地市必做</w:t>
            </w:r>
          </w:p>
        </w:tc>
        <w:tc>
          <w:tcPr>
            <w:tcW w:w="1428" w:type="dxa"/>
            <w:vAlign w:val="center"/>
          </w:tcPr>
          <w:p>
            <w:pPr>
              <w:pStyle w:val="7"/>
              <w:spacing w:line="520" w:lineRule="exact"/>
              <w:jc w:val="center"/>
              <w:rPr>
                <w:rFonts w:ascii="Times New Roman"/>
                <w:sz w:val="24"/>
              </w:rPr>
            </w:pPr>
            <w:r>
              <w:rPr>
                <w:rFonts w:ascii="Times New Roman"/>
                <w:sz w:val="24"/>
              </w:rPr>
              <w:t>年内有</w:t>
            </w:r>
          </w:p>
          <w:p>
            <w:pPr>
              <w:pStyle w:val="7"/>
              <w:spacing w:line="520" w:lineRule="exact"/>
              <w:jc w:val="center"/>
              <w:rPr>
                <w:rFonts w:ascii="Times New Roman"/>
                <w:sz w:val="24"/>
              </w:rPr>
            </w:pPr>
            <w:r>
              <w:rPr>
                <w:rFonts w:ascii="Times New Roman"/>
                <w:sz w:val="24"/>
              </w:rPr>
              <w:t>阶段性</w:t>
            </w:r>
          </w:p>
          <w:p>
            <w:pPr>
              <w:pStyle w:val="7"/>
              <w:spacing w:line="520" w:lineRule="exact"/>
              <w:jc w:val="center"/>
              <w:rPr>
                <w:sz w:val="24"/>
              </w:rPr>
            </w:pPr>
            <w:r>
              <w:rPr>
                <w:rFonts w:ascii="Times New Roman"/>
                <w:sz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2835" w:type="dxa"/>
            <w:vAlign w:val="center"/>
          </w:tcPr>
          <w:p>
            <w:pPr>
              <w:spacing w:line="560" w:lineRule="exact"/>
              <w:rPr>
                <w:rFonts w:ascii="仿宋_GB2312" w:eastAsia="仿宋_GB2312"/>
                <w:sz w:val="24"/>
                <w:szCs w:val="24"/>
              </w:rPr>
            </w:pPr>
            <w:r>
              <w:rPr>
                <w:rFonts w:hint="eastAsia" w:ascii="仿宋_GB2312" w:eastAsia="仿宋_GB2312"/>
                <w:sz w:val="24"/>
                <w:szCs w:val="24"/>
              </w:rPr>
              <w:t>7.持续提升商标审查质量和效率</w:t>
            </w:r>
          </w:p>
        </w:tc>
        <w:tc>
          <w:tcPr>
            <w:tcW w:w="8362" w:type="dxa"/>
            <w:vAlign w:val="center"/>
          </w:tcPr>
          <w:p>
            <w:pPr>
              <w:pStyle w:val="7"/>
              <w:spacing w:line="520" w:lineRule="exact"/>
              <w:ind w:left="107" w:right="43" w:firstLine="559"/>
              <w:rPr>
                <w:sz w:val="24"/>
              </w:rPr>
            </w:pPr>
            <w:r>
              <w:rPr>
                <w:sz w:val="24"/>
              </w:rPr>
              <w:t>根据国家局工作部署,加强对所辖区域内商标申请人和商标代理机构申请行为的监管，将商标囤积、恶意注册等行为线索及时报送国家局。</w:t>
            </w:r>
          </w:p>
        </w:tc>
        <w:tc>
          <w:tcPr>
            <w:tcW w:w="2262" w:type="dxa"/>
            <w:vAlign w:val="center"/>
          </w:tcPr>
          <w:p>
            <w:pPr>
              <w:pStyle w:val="7"/>
              <w:spacing w:line="520" w:lineRule="exact"/>
              <w:ind w:left="107" w:right="43" w:hanging="309"/>
              <w:jc w:val="center"/>
              <w:rPr>
                <w:sz w:val="24"/>
                <w:lang w:val="en-US"/>
              </w:rPr>
            </w:pPr>
            <w:r>
              <w:rPr>
                <w:sz w:val="24"/>
              </w:rPr>
              <w:t>。</w:t>
            </w:r>
            <w:r>
              <w:rPr>
                <w:rFonts w:hint="eastAsia"/>
                <w:sz w:val="24"/>
              </w:rPr>
              <w:t>省级：知识产权促进处、知识产权保护处</w:t>
            </w:r>
          </w:p>
          <w:p>
            <w:pPr>
              <w:pStyle w:val="7"/>
              <w:spacing w:line="520" w:lineRule="exact"/>
              <w:ind w:left="107" w:right="43"/>
              <w:jc w:val="center"/>
              <w:rPr>
                <w:sz w:val="24"/>
              </w:rPr>
            </w:pPr>
            <w:r>
              <w:rPr>
                <w:rFonts w:hint="eastAsia"/>
                <w:sz w:val="24"/>
              </w:rPr>
              <w:t>地市：</w:t>
            </w:r>
            <w:r>
              <w:rPr>
                <w:rFonts w:hint="eastAsia"/>
                <w:spacing w:val="-8"/>
                <w:sz w:val="24"/>
                <w:szCs w:val="22"/>
                <w:lang w:val="en-US"/>
              </w:rPr>
              <w:t>各省辖市、</w:t>
            </w:r>
            <w:r>
              <w:rPr>
                <w:rFonts w:hint="eastAsia"/>
                <w:sz w:val="24"/>
              </w:rPr>
              <w:t>济源示范区、</w:t>
            </w:r>
            <w:r>
              <w:rPr>
                <w:rFonts w:hint="eastAsia"/>
                <w:spacing w:val="-8"/>
                <w:sz w:val="24"/>
                <w:szCs w:val="22"/>
                <w:lang w:val="en-US"/>
              </w:rPr>
              <w:t>省直管县（市）必做</w:t>
            </w:r>
          </w:p>
        </w:tc>
        <w:tc>
          <w:tcPr>
            <w:tcW w:w="1428" w:type="dxa"/>
            <w:vAlign w:val="center"/>
          </w:tcPr>
          <w:p>
            <w:pPr>
              <w:pStyle w:val="7"/>
              <w:spacing w:line="520" w:lineRule="exact"/>
              <w:jc w:val="center"/>
              <w:rPr>
                <w:rFonts w:ascii="Times New Roman"/>
                <w:sz w:val="24"/>
              </w:rPr>
            </w:pPr>
            <w:r>
              <w:rPr>
                <w:rFonts w:ascii="Times New Roman"/>
                <w:sz w:val="24"/>
              </w:rPr>
              <w:t>年内有</w:t>
            </w:r>
          </w:p>
          <w:p>
            <w:pPr>
              <w:pStyle w:val="7"/>
              <w:spacing w:line="520" w:lineRule="exact"/>
              <w:jc w:val="center"/>
              <w:rPr>
                <w:rFonts w:ascii="Times New Roman"/>
                <w:sz w:val="24"/>
              </w:rPr>
            </w:pPr>
            <w:r>
              <w:rPr>
                <w:rFonts w:ascii="Times New Roman"/>
                <w:sz w:val="24"/>
              </w:rPr>
              <w:t>阶段性</w:t>
            </w:r>
          </w:p>
          <w:p>
            <w:pPr>
              <w:pStyle w:val="7"/>
              <w:spacing w:line="520" w:lineRule="exact"/>
              <w:jc w:val="center"/>
              <w:rPr>
                <w:sz w:val="24"/>
              </w:rPr>
            </w:pPr>
            <w:r>
              <w:rPr>
                <w:rFonts w:ascii="Times New Roman"/>
                <w:sz w:val="24"/>
              </w:rPr>
              <w:t>成果</w:t>
            </w:r>
          </w:p>
        </w:tc>
      </w:tr>
    </w:tbl>
    <w:p>
      <w:pPr>
        <w:spacing w:line="268"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574"/>
        <w:gridCol w:w="2038"/>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574" w:type="dxa"/>
            <w:vAlign w:val="top"/>
          </w:tcPr>
          <w:p>
            <w:pPr>
              <w:jc w:val="center"/>
            </w:pPr>
            <w:r>
              <w:rPr>
                <w:rFonts w:hint="eastAsia" w:ascii="黑体" w:hAnsi="仿宋_GB2312" w:eastAsia="黑体" w:cs="仿宋_GB2312"/>
                <w:sz w:val="28"/>
                <w:szCs w:val="22"/>
                <w:lang w:val="zh-CN" w:bidi="zh-CN"/>
              </w:rPr>
              <w:t>落实举措</w:t>
            </w:r>
          </w:p>
        </w:tc>
        <w:tc>
          <w:tcPr>
            <w:tcW w:w="2038"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440"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887" w:type="dxa"/>
            <w:gridSpan w:val="4"/>
            <w:vAlign w:val="top"/>
          </w:tcPr>
          <w:p>
            <w:pPr>
              <w:pStyle w:val="7"/>
              <w:spacing w:before="87" w:line="349" w:lineRule="exact"/>
              <w:ind w:left="5767" w:right="5146"/>
              <w:jc w:val="center"/>
              <w:rPr>
                <w:rFonts w:ascii="黑体" w:eastAsia="黑体"/>
                <w:sz w:val="28"/>
              </w:rPr>
            </w:pPr>
            <w:r>
              <w:rPr>
                <w:rFonts w:hint="eastAsia" w:ascii="黑体" w:eastAsia="黑体"/>
                <w:sz w:val="28"/>
              </w:rPr>
              <w:t>三、促进知识产权价值实现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4" w:hRule="atLeast"/>
        </w:trPr>
        <w:tc>
          <w:tcPr>
            <w:tcW w:w="2835" w:type="dxa"/>
            <w:vAlign w:val="center"/>
          </w:tcPr>
          <w:p>
            <w:pPr>
              <w:spacing w:line="560" w:lineRule="exact"/>
              <w:rPr>
                <w:rFonts w:ascii="仿宋_GB2312" w:eastAsia="仿宋_GB2312"/>
                <w:sz w:val="24"/>
                <w:szCs w:val="24"/>
              </w:rPr>
            </w:pPr>
            <w:r>
              <w:rPr>
                <w:rFonts w:hint="eastAsia" w:ascii="仿宋_GB2312" w:eastAsia="仿宋_GB2312"/>
                <w:sz w:val="24"/>
                <w:szCs w:val="24"/>
              </w:rPr>
              <w:t>8.健全知识产权运营体系</w:t>
            </w:r>
          </w:p>
        </w:tc>
        <w:tc>
          <w:tcPr>
            <w:tcW w:w="8574" w:type="dxa"/>
            <w:vAlign w:val="center"/>
          </w:tcPr>
          <w:p>
            <w:pPr>
              <w:pStyle w:val="7"/>
              <w:spacing w:line="520" w:lineRule="exact"/>
              <w:ind w:left="108" w:right="-15" w:firstLine="561"/>
              <w:jc w:val="left"/>
              <w:rPr>
                <w:sz w:val="24"/>
              </w:rPr>
            </w:pPr>
            <w:r>
              <w:rPr>
                <w:rFonts w:hint="eastAsia"/>
                <w:sz w:val="24"/>
              </w:rPr>
              <w:t>全面落实《关于进一步加强知识产权质押融资工作的</w:t>
            </w:r>
            <w:r>
              <w:rPr>
                <w:rFonts w:hint="eastAsia"/>
                <w:spacing w:val="-14"/>
                <w:sz w:val="24"/>
              </w:rPr>
              <w:t>通知》，加强与银保监部门的沟通协调，建立常态化工作协调机制，</w:t>
            </w:r>
            <w:r>
              <w:rPr>
                <w:rFonts w:hint="eastAsia"/>
                <w:sz w:val="24"/>
              </w:rPr>
              <w:t>加强知识产权主管部门与商业银行战略合作，</w:t>
            </w:r>
            <w:r>
              <w:rPr>
                <w:rFonts w:hint="eastAsia"/>
                <w:sz w:val="24"/>
                <w:szCs w:val="28"/>
              </w:rPr>
              <w:t>积极开展知识产权质押融资业务</w:t>
            </w:r>
            <w:r>
              <w:rPr>
                <w:rFonts w:hint="eastAsia"/>
                <w:sz w:val="24"/>
              </w:rPr>
              <w:t>。探索建立财政资金引导的知识产权质押融资风险补偿机制，发挥知识产权增信增贷作用，对企业知识产权质押融资产生的利息等费用给予一定比例的贴息支持。完善知识产权质押融资服务机制建设，开展企业质押融资需求调查，做好知识产权质押融资巡讲及银企对接工作，推动银行保险机构积极拓展知识产权金融服务，并做好知识产权质</w:t>
            </w:r>
            <w:r>
              <w:rPr>
                <w:rFonts w:hint="eastAsia"/>
                <w:spacing w:val="-1"/>
                <w:sz w:val="24"/>
              </w:rPr>
              <w:t>押登记工作。</w:t>
            </w:r>
          </w:p>
          <w:p>
            <w:pPr>
              <w:pStyle w:val="7"/>
              <w:spacing w:line="520" w:lineRule="exact"/>
              <w:ind w:left="108" w:right="40" w:firstLine="561"/>
              <w:jc w:val="left"/>
              <w:rPr>
                <w:sz w:val="24"/>
              </w:rPr>
            </w:pPr>
            <w:r>
              <w:rPr>
                <w:rFonts w:hint="eastAsia"/>
                <w:sz w:val="24"/>
              </w:rPr>
              <w:t>强化中央财政专项资金使用情况的自查评估，不断提高资金使用效率，积极完善知识产权运营基金投出机制，培育一批高价值专利组合。支持我省知识产权运营基金发展，推动发展投贷联动等新模式。推动郑州市、洛阳市加快国家知识产权运营服务体系重点城市建设。加强知识产权运营平台分类管理，指导国家知识产权运营公共服务平台交易运营（郑州）试点平台加快建设运行，出台相关扶持政策并做好下一步的日常监管工作。建设一批高校知识产权运营管理中心。加强知识产权运营平台、机构、人才队伍建设，不断探索知识产权运营新模式。</w:t>
            </w:r>
          </w:p>
        </w:tc>
        <w:tc>
          <w:tcPr>
            <w:tcW w:w="2038" w:type="dxa"/>
            <w:vAlign w:val="center"/>
          </w:tcPr>
          <w:p>
            <w:pPr>
              <w:pStyle w:val="7"/>
              <w:spacing w:line="520" w:lineRule="exact"/>
              <w:jc w:val="center"/>
              <w:rPr>
                <w:rFonts w:ascii="Times New Roman"/>
                <w:sz w:val="24"/>
              </w:rPr>
            </w:pPr>
            <w:r>
              <w:rPr>
                <w:rFonts w:hint="eastAsia"/>
                <w:sz w:val="24"/>
              </w:rPr>
              <w:t>省级：知识产权促进处、协调管理处</w:t>
            </w:r>
          </w:p>
          <w:p>
            <w:pPr>
              <w:pStyle w:val="7"/>
              <w:spacing w:line="520" w:lineRule="exact"/>
              <w:jc w:val="center"/>
              <w:rPr>
                <w:rFonts w:ascii="Times New Roman"/>
                <w:sz w:val="24"/>
              </w:rPr>
            </w:pPr>
          </w:p>
          <w:p>
            <w:pPr>
              <w:pStyle w:val="7"/>
              <w:spacing w:line="520" w:lineRule="exact"/>
              <w:jc w:val="center"/>
              <w:rPr>
                <w:spacing w:val="-8"/>
                <w:sz w:val="24"/>
                <w:lang w:val="en-US"/>
              </w:rPr>
            </w:pPr>
            <w:r>
              <w:rPr>
                <w:rFonts w:hint="eastAsia"/>
                <w:sz w:val="24"/>
                <w:lang w:val="en-US"/>
              </w:rPr>
              <w:t>地市：</w:t>
            </w:r>
            <w:r>
              <w:rPr>
                <w:rFonts w:hint="eastAsia"/>
                <w:spacing w:val="-8"/>
                <w:sz w:val="24"/>
                <w:szCs w:val="22"/>
                <w:lang w:val="en-US"/>
              </w:rPr>
              <w:t>各省辖市、</w:t>
            </w:r>
            <w:r>
              <w:rPr>
                <w:rFonts w:hint="eastAsia"/>
                <w:sz w:val="24"/>
              </w:rPr>
              <w:t>济源示范区、</w:t>
            </w:r>
            <w:r>
              <w:rPr>
                <w:rFonts w:hint="eastAsia"/>
                <w:spacing w:val="-8"/>
                <w:sz w:val="24"/>
                <w:szCs w:val="22"/>
                <w:lang w:val="en-US"/>
              </w:rPr>
              <w:t>省直管县（市）必做</w:t>
            </w:r>
          </w:p>
          <w:p>
            <w:pPr>
              <w:pStyle w:val="7"/>
              <w:spacing w:line="520" w:lineRule="exact"/>
              <w:jc w:val="center"/>
              <w:rPr>
                <w:spacing w:val="-8"/>
                <w:sz w:val="24"/>
                <w:lang w:val="en-US"/>
              </w:rPr>
            </w:pPr>
          </w:p>
          <w:p>
            <w:pPr>
              <w:pStyle w:val="7"/>
              <w:spacing w:line="520" w:lineRule="exact"/>
              <w:jc w:val="center"/>
              <w:rPr>
                <w:spacing w:val="-8"/>
                <w:sz w:val="24"/>
                <w:lang w:val="en-US"/>
              </w:rPr>
            </w:pPr>
            <w:r>
              <w:rPr>
                <w:rFonts w:hint="eastAsia"/>
                <w:sz w:val="24"/>
                <w:lang w:val="en-US"/>
              </w:rPr>
              <w:t>地市：涉及地市</w:t>
            </w:r>
            <w:r>
              <w:rPr>
                <w:rFonts w:hint="eastAsia"/>
                <w:spacing w:val="-8"/>
                <w:sz w:val="24"/>
                <w:szCs w:val="22"/>
                <w:lang w:val="en-US"/>
              </w:rPr>
              <w:t>必做</w:t>
            </w:r>
          </w:p>
        </w:tc>
        <w:tc>
          <w:tcPr>
            <w:tcW w:w="144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pPr>
            <w:r>
              <w:rPr>
                <w:rFonts w:hint="eastAsia" w:ascii="仿宋_GB2312" w:eastAsia="仿宋_GB2312"/>
                <w:sz w:val="24"/>
                <w:szCs w:val="24"/>
              </w:rPr>
              <w:t>成果</w:t>
            </w:r>
          </w:p>
        </w:tc>
      </w:tr>
    </w:tbl>
    <w:p>
      <w:pPr>
        <w:spacing w:line="266"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5"/>
        <w:gridCol w:w="8628"/>
        <w:gridCol w:w="2126"/>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57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628"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9" w:hRule="atLeast"/>
        </w:trPr>
        <w:tc>
          <w:tcPr>
            <w:tcW w:w="2575" w:type="dxa"/>
            <w:vAlign w:val="center"/>
          </w:tcPr>
          <w:p>
            <w:pPr>
              <w:spacing w:line="580" w:lineRule="exact"/>
              <w:jc w:val="left"/>
              <w:rPr>
                <w:rFonts w:ascii="仿宋_GB2312" w:eastAsia="仿宋_GB2312"/>
                <w:sz w:val="24"/>
                <w:szCs w:val="24"/>
              </w:rPr>
            </w:pPr>
            <w:r>
              <w:rPr>
                <w:rFonts w:hint="eastAsia" w:ascii="仿宋_GB2312" w:eastAsia="仿宋_GB2312"/>
                <w:sz w:val="24"/>
                <w:szCs w:val="24"/>
              </w:rPr>
              <w:t>9.提高创新主体知识产权管理能力</w:t>
            </w:r>
          </w:p>
        </w:tc>
        <w:tc>
          <w:tcPr>
            <w:tcW w:w="8628" w:type="dxa"/>
            <w:vAlign w:val="center"/>
          </w:tcPr>
          <w:p>
            <w:pPr>
              <w:spacing w:line="460" w:lineRule="exact"/>
              <w:ind w:firstLine="480" w:firstLineChars="200"/>
              <w:rPr>
                <w:rFonts w:ascii="仿宋_GB2312" w:eastAsia="仿宋_GB2312"/>
                <w:sz w:val="24"/>
                <w:szCs w:val="24"/>
              </w:rPr>
            </w:pPr>
            <w:r>
              <w:rPr>
                <w:rFonts w:hint="eastAsia" w:ascii="仿宋_GB2312" w:eastAsia="仿宋_GB2312"/>
                <w:sz w:val="24"/>
                <w:szCs w:val="24"/>
              </w:rPr>
              <w:t>全面落实教育部、国家知识产权局、科技部《关于提升高等学校专利质量促进转化运用的若干意见》，推进国家和省级知识产权试点示范高校建设，指导本地区高校进一步提高知识产权工作水平，促进知识产权创造运用。全面落实《关于推进中央企业知识产权工作高质量发展的指导意见》《关于全面组织实施中小企业知识产权战略推进工程的指导意见》《关于知识产权服务民营企业创新发展若干措施的通知》等政策文件，继续开展国家知识产权优势示范企业和省级知识产权强企培育工作，提升企业创新能力，促进企业知识产权高质量发展。整合重点企业、高等院校、科研院所和中介服务机构资源，建设高价值专利培育中心。做好第二十二届中国专利奖组织推荐及第二十一届中国专利奖、第二届河南省专利奖奖励工作，充分发挥质量导向和示范作用。完善驰名商标的激励奖励政策。</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持续推进试点示范城市、县（区）、园区和自创区、自贸区知识产权工作，做好国家知识产权创意产业试点园区、国家知识产权试点示范园区等先行先试区先进管理经验总结推广工作。</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认真落实《关于规范知识产权管理体系贯标认证工作的通知》，持续优化地方贯标认证扶持政策，严格规范企业、高校、科研组织、专利代理机构贯标认证工作。</w:t>
            </w:r>
          </w:p>
          <w:p>
            <w:pPr>
              <w:spacing w:line="460" w:lineRule="exact"/>
            </w:pPr>
            <w:r>
              <w:rPr>
                <w:rFonts w:hint="eastAsia" w:ascii="仿宋_GB2312" w:eastAsia="仿宋_GB2312"/>
                <w:sz w:val="24"/>
                <w:szCs w:val="24"/>
              </w:rPr>
              <w:t>加强对全省知识产权资助工作的指导，进一步优化 PCT 国际专利和国内发明专利奖励资助政策，全面取消实用新型、外观设计、商标申请注册环节的资助与奖励，强化资助政策质量导向，规范资助行为。</w:t>
            </w:r>
          </w:p>
        </w:tc>
        <w:tc>
          <w:tcPr>
            <w:tcW w:w="2126" w:type="dxa"/>
            <w:vAlign w:val="center"/>
          </w:tcPr>
          <w:p>
            <w:pPr>
              <w:pStyle w:val="7"/>
              <w:spacing w:line="520" w:lineRule="exact"/>
              <w:jc w:val="center"/>
              <w:rPr>
                <w:sz w:val="24"/>
              </w:rPr>
            </w:pPr>
          </w:p>
          <w:p>
            <w:pPr>
              <w:pStyle w:val="7"/>
              <w:spacing w:line="520" w:lineRule="exact"/>
              <w:jc w:val="center"/>
              <w:rPr>
                <w:rFonts w:ascii="Times New Roman"/>
                <w:sz w:val="24"/>
              </w:rPr>
            </w:pPr>
            <w:r>
              <w:rPr>
                <w:rFonts w:hint="eastAsia"/>
                <w:sz w:val="24"/>
              </w:rPr>
              <w:t>省级：知识产权促进处、协调管理处、专利代办处、规划发展处</w:t>
            </w:r>
          </w:p>
          <w:p>
            <w:pPr>
              <w:pStyle w:val="7"/>
              <w:spacing w:line="520" w:lineRule="exact"/>
              <w:jc w:val="center"/>
              <w:rPr>
                <w:rFonts w:ascii="Times New Roman"/>
                <w:sz w:val="24"/>
              </w:rPr>
            </w:pPr>
          </w:p>
          <w:p>
            <w:pPr>
              <w:pStyle w:val="7"/>
              <w:spacing w:line="520" w:lineRule="exact"/>
              <w:jc w:val="center"/>
              <w:rPr>
                <w:sz w:val="24"/>
              </w:rPr>
            </w:pPr>
            <w:r>
              <w:rPr>
                <w:rFonts w:hint="eastAsia"/>
                <w:sz w:val="24"/>
                <w:lang w:val="en-US"/>
              </w:rPr>
              <w:t>地市：</w:t>
            </w:r>
            <w:r>
              <w:rPr>
                <w:rFonts w:hint="eastAsia"/>
                <w:spacing w:val="-8"/>
                <w:sz w:val="24"/>
                <w:szCs w:val="22"/>
                <w:lang w:val="en-US"/>
              </w:rPr>
              <w:t>各省辖市、</w:t>
            </w:r>
            <w:r>
              <w:rPr>
                <w:rFonts w:hint="eastAsia"/>
                <w:sz w:val="24"/>
              </w:rPr>
              <w:t>济源示范区、</w:t>
            </w:r>
            <w:r>
              <w:rPr>
                <w:rFonts w:hint="eastAsia"/>
                <w:spacing w:val="-8"/>
                <w:sz w:val="24"/>
                <w:szCs w:val="22"/>
                <w:lang w:val="en-US"/>
              </w:rPr>
              <w:t>省直管县（市）必做</w:t>
            </w:r>
          </w:p>
        </w:tc>
        <w:tc>
          <w:tcPr>
            <w:tcW w:w="1558" w:type="dxa"/>
            <w:vAlign w:val="center"/>
          </w:tcPr>
          <w:p>
            <w:pPr>
              <w:spacing w:line="560" w:lineRule="exact"/>
              <w:jc w:val="center"/>
              <w:rPr>
                <w:rFonts w:hint="eastAsia" w:ascii="仿宋_GB2312" w:eastAsia="仿宋_GB2312"/>
                <w:sz w:val="24"/>
                <w:szCs w:val="24"/>
              </w:rPr>
            </w:pPr>
            <w:r>
              <w:rPr>
                <w:rFonts w:hint="eastAsia" w:ascii="仿宋_GB2312" w:eastAsia="仿宋_GB2312"/>
                <w:sz w:val="24"/>
                <w:szCs w:val="24"/>
              </w:rPr>
              <w:t>年内有</w:t>
            </w:r>
          </w:p>
          <w:p>
            <w:pPr>
              <w:spacing w:line="560" w:lineRule="exact"/>
              <w:jc w:val="center"/>
              <w:rPr>
                <w:rFonts w:hint="eastAsia" w:ascii="仿宋_GB2312" w:eastAsia="仿宋_GB2312"/>
                <w:sz w:val="24"/>
                <w:szCs w:val="24"/>
              </w:rPr>
            </w:pPr>
            <w:r>
              <w:rPr>
                <w:rFonts w:hint="eastAsia" w:ascii="仿宋_GB2312" w:eastAsia="仿宋_GB2312"/>
                <w:sz w:val="24"/>
                <w:szCs w:val="24"/>
              </w:rPr>
              <w:t>阶段性</w:t>
            </w:r>
          </w:p>
          <w:p>
            <w:pPr>
              <w:spacing w:line="560" w:lineRule="exact"/>
              <w:jc w:val="center"/>
            </w:pPr>
            <w:r>
              <w:rPr>
                <w:rFonts w:hint="eastAsia" w:ascii="仿宋_GB2312" w:eastAsia="仿宋_GB2312"/>
                <w:sz w:val="24"/>
                <w:szCs w:val="24"/>
              </w:rPr>
              <w:t>成果</w:t>
            </w:r>
          </w:p>
        </w:tc>
      </w:tr>
    </w:tbl>
    <w:p>
      <w:pPr>
        <w:spacing w:line="266"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9067"/>
        <w:gridCol w:w="2099"/>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63"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9067"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099" w:type="dxa"/>
            <w:vAlign w:val="center"/>
          </w:tcPr>
          <w:p>
            <w:pPr>
              <w:pStyle w:val="7"/>
              <w:spacing w:before="84" w:line="351" w:lineRule="exact"/>
              <w:jc w:val="center"/>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trPr>
        <w:tc>
          <w:tcPr>
            <w:tcW w:w="2163" w:type="dxa"/>
            <w:vAlign w:val="center"/>
          </w:tcPr>
          <w:p>
            <w:pPr>
              <w:pStyle w:val="7"/>
              <w:spacing w:line="500" w:lineRule="exact"/>
              <w:ind w:left="107" w:right="44"/>
              <w:jc w:val="center"/>
              <w:rPr>
                <w:sz w:val="24"/>
              </w:rPr>
            </w:pPr>
            <w:r>
              <w:rPr>
                <w:sz w:val="24"/>
              </w:rPr>
              <w:t>10.推动知识产权服务业高质量发展</w:t>
            </w:r>
          </w:p>
        </w:tc>
        <w:tc>
          <w:tcPr>
            <w:tcW w:w="9067" w:type="dxa"/>
            <w:vAlign w:val="center"/>
          </w:tcPr>
          <w:p>
            <w:pPr>
              <w:spacing w:line="500" w:lineRule="exact"/>
              <w:ind w:firstLine="480" w:firstLineChars="200"/>
              <w:rPr>
                <w:rFonts w:ascii="仿宋_GB2312" w:eastAsia="仿宋_GB2312"/>
                <w:sz w:val="24"/>
                <w:szCs w:val="24"/>
              </w:rPr>
            </w:pPr>
            <w:r>
              <w:rPr>
                <w:rFonts w:hint="eastAsia" w:ascii="仿宋_GB2312" w:eastAsia="仿宋_GB2312"/>
                <w:sz w:val="24"/>
                <w:szCs w:val="24"/>
              </w:rPr>
              <w:t>切实加强对知识产权服务业监管，营造规范有序的行业环境。深入推进“蓝天”专项整治行动，重点打击无资质“黑代理”行为。严厉打击商标代理机构违法行为，重点是违反法律规定，为恶意抢注行为提供代理服务的行为。认真组织开展专利代理行业“双随机一公开”，加强对知识产权服务机构和人员的执业监督和管理，持续规范知识产权代理行为，指导和发展本地区知识产权服务行业协会等自律组织。</w:t>
            </w:r>
          </w:p>
          <w:p>
            <w:pPr>
              <w:spacing w:line="500" w:lineRule="exact"/>
              <w:ind w:firstLine="480" w:firstLineChars="200"/>
              <w:rPr>
                <w:rFonts w:ascii="仿宋_GB2312" w:eastAsia="仿宋_GB2312"/>
                <w:sz w:val="24"/>
                <w:szCs w:val="24"/>
              </w:rPr>
            </w:pPr>
            <w:r>
              <w:rPr>
                <w:rFonts w:hint="eastAsia" w:ascii="仿宋_GB2312" w:eastAsia="仿宋_GB2312"/>
                <w:sz w:val="24"/>
                <w:szCs w:val="24"/>
              </w:rPr>
              <w:t>组织开展知识产权服务能力提升培训，继续做好专利代理师资格考试及考前培训相关工作，严格按照规定认真做好专利代理师执业备案工作。</w:t>
            </w:r>
          </w:p>
          <w:p>
            <w:pPr>
              <w:spacing w:line="500" w:lineRule="exact"/>
              <w:ind w:firstLine="480" w:firstLineChars="200"/>
            </w:pPr>
            <w:r>
              <w:rPr>
                <w:rFonts w:hint="eastAsia" w:ascii="仿宋_GB2312" w:eastAsia="仿宋_GB2312"/>
                <w:sz w:val="24"/>
                <w:szCs w:val="24"/>
              </w:rPr>
              <w:t>严格按照建设方案，有序推进郑州国家知识产权服务业集聚发展示范区建设，整合资源，集聚服务机构，完善服务链条，开展供需对接活动。持续加大知识产权品牌服务机构培育工作，培育和引进一批优质的服务业品牌机构。</w:t>
            </w:r>
          </w:p>
        </w:tc>
        <w:tc>
          <w:tcPr>
            <w:tcW w:w="2099" w:type="dxa"/>
            <w:vAlign w:val="center"/>
          </w:tcPr>
          <w:p>
            <w:pPr>
              <w:spacing w:line="560" w:lineRule="exact"/>
              <w:rPr>
                <w:rFonts w:ascii="仿宋_GB2312" w:eastAsia="仿宋_GB2312"/>
                <w:sz w:val="24"/>
              </w:rPr>
            </w:pPr>
            <w:r>
              <w:rPr>
                <w:rFonts w:hint="eastAsia" w:ascii="仿宋_GB2312" w:eastAsia="仿宋_GB2312"/>
                <w:sz w:val="24"/>
              </w:rPr>
              <w:t>省级：知识产权促进处、专利代办处</w:t>
            </w:r>
          </w:p>
          <w:p>
            <w:pPr>
              <w:spacing w:line="560" w:lineRule="exact"/>
              <w:rPr>
                <w:rFonts w:ascii="仿宋_GB2312" w:eastAsia="仿宋_GB2312"/>
                <w:sz w:val="24"/>
              </w:rPr>
            </w:pPr>
          </w:p>
          <w:p>
            <w:pPr>
              <w:spacing w:line="560" w:lineRule="exact"/>
              <w:rPr>
                <w:rFonts w:ascii="仿宋_GB2312" w:eastAsia="仿宋_GB2312"/>
                <w:sz w:val="24"/>
              </w:rPr>
            </w:pPr>
            <w:r>
              <w:rPr>
                <w:rFonts w:hint="eastAsia" w:ascii="仿宋_GB2312" w:eastAsia="仿宋_GB2312"/>
                <w:sz w:val="24"/>
              </w:rPr>
              <w:t>地市：各省辖市、</w:t>
            </w:r>
            <w:r>
              <w:rPr>
                <w:rFonts w:hint="eastAsia" w:ascii="仿宋_GB2312" w:eastAsia="仿宋_GB2312"/>
                <w:sz w:val="24"/>
                <w:szCs w:val="24"/>
              </w:rPr>
              <w:t>济源示范区、</w:t>
            </w:r>
            <w:r>
              <w:rPr>
                <w:rFonts w:hint="eastAsia" w:ascii="仿宋_GB2312" w:eastAsia="仿宋_GB2312"/>
                <w:sz w:val="24"/>
              </w:rPr>
              <w:t>省直管县（市）必做</w:t>
            </w:r>
          </w:p>
        </w:tc>
        <w:tc>
          <w:tcPr>
            <w:tcW w:w="1558" w:type="dxa"/>
            <w:vAlign w:val="center"/>
          </w:tcPr>
          <w:p>
            <w:pPr>
              <w:spacing w:line="560" w:lineRule="exact"/>
              <w:jc w:val="center"/>
              <w:rPr>
                <w:rFonts w:hint="eastAsia" w:ascii="仿宋_GB2312" w:eastAsia="仿宋_GB2312"/>
                <w:sz w:val="24"/>
                <w:szCs w:val="24"/>
              </w:rPr>
            </w:pPr>
            <w:r>
              <w:rPr>
                <w:rFonts w:hint="eastAsia" w:ascii="仿宋_GB2312" w:eastAsia="仿宋_GB2312"/>
                <w:sz w:val="24"/>
                <w:szCs w:val="24"/>
              </w:rPr>
              <w:t>年内有</w:t>
            </w:r>
          </w:p>
          <w:p>
            <w:pPr>
              <w:spacing w:line="560" w:lineRule="exact"/>
              <w:jc w:val="center"/>
              <w:rPr>
                <w:rFonts w:hint="eastAsia" w:ascii="仿宋_GB2312" w:eastAsia="仿宋_GB2312"/>
                <w:sz w:val="24"/>
                <w:szCs w:val="24"/>
              </w:rPr>
            </w:pPr>
            <w:r>
              <w:rPr>
                <w:rFonts w:hint="eastAsia" w:ascii="仿宋_GB2312" w:eastAsia="仿宋_GB2312"/>
                <w:sz w:val="24"/>
                <w:szCs w:val="24"/>
              </w:rPr>
              <w:t>阶段性</w:t>
            </w:r>
          </w:p>
          <w:p>
            <w:pPr>
              <w:spacing w:line="560" w:lineRule="exact"/>
              <w:jc w:val="cente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2163" w:type="dxa"/>
            <w:vAlign w:val="center"/>
          </w:tcPr>
          <w:p>
            <w:pPr>
              <w:pStyle w:val="7"/>
              <w:spacing w:line="500" w:lineRule="exact"/>
              <w:ind w:left="107" w:right="44"/>
              <w:jc w:val="left"/>
              <w:rPr>
                <w:sz w:val="24"/>
              </w:rPr>
            </w:pPr>
            <w:r>
              <w:rPr>
                <w:sz w:val="24"/>
              </w:rPr>
              <w:t>11.促进知识产权与产业发展深度融合</w:t>
            </w:r>
          </w:p>
        </w:tc>
        <w:tc>
          <w:tcPr>
            <w:tcW w:w="9067"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建设国家专利导航产业发展实验区，开展省级专利导航产业发展实验区建设情况绩效评估，推动认定一批省级专利导航产业发展实验区（示范区），积极探索知识产权服务经济发展的有效路径，实施一批区域规划、产业规划、企业经营、研发立项、标准运用、人才管理类专利导航项目，引导推进创新资源配置与区域重点产业、优势产业创新发展需求相匹配。</w:t>
            </w:r>
          </w:p>
          <w:p>
            <w:pPr>
              <w:spacing w:line="480" w:lineRule="exact"/>
              <w:ind w:firstLine="480" w:firstLineChars="200"/>
            </w:pPr>
            <w:r>
              <w:rPr>
                <w:rFonts w:hint="eastAsia" w:ascii="仿宋_GB2312" w:eastAsia="仿宋_GB2312"/>
                <w:sz w:val="24"/>
                <w:szCs w:val="24"/>
              </w:rPr>
              <w:t>探索开展本地区知识产权（专利）密集型产业增加值核算与发布工作，采取有力措施培育壮大专利密集型产业。</w:t>
            </w:r>
          </w:p>
        </w:tc>
        <w:tc>
          <w:tcPr>
            <w:tcW w:w="2099" w:type="dxa"/>
            <w:vAlign w:val="center"/>
          </w:tcPr>
          <w:p>
            <w:pPr>
              <w:spacing w:line="560" w:lineRule="exact"/>
              <w:rPr>
                <w:rFonts w:ascii="仿宋_GB2312" w:eastAsia="仿宋_GB2312"/>
                <w:sz w:val="24"/>
              </w:rPr>
            </w:pPr>
            <w:r>
              <w:rPr>
                <w:rFonts w:hint="eastAsia" w:ascii="仿宋_GB2312" w:eastAsia="仿宋_GB2312"/>
                <w:sz w:val="24"/>
              </w:rPr>
              <w:t>省级：知识产权促进处、协调管理处、专利代办处</w:t>
            </w:r>
          </w:p>
          <w:p>
            <w:pPr>
              <w:spacing w:line="560" w:lineRule="exact"/>
              <w:rPr>
                <w:rFonts w:ascii="仿宋_GB2312" w:eastAsia="仿宋_GB2312"/>
                <w:sz w:val="24"/>
              </w:rPr>
            </w:pPr>
            <w:r>
              <w:rPr>
                <w:rFonts w:hint="eastAsia" w:ascii="仿宋_GB2312" w:eastAsia="仿宋_GB2312"/>
                <w:sz w:val="24"/>
              </w:rPr>
              <w:t>地市：各省辖市、</w:t>
            </w:r>
            <w:r>
              <w:rPr>
                <w:rFonts w:hint="eastAsia" w:ascii="仿宋_GB2312" w:eastAsia="仿宋_GB2312"/>
                <w:sz w:val="24"/>
                <w:szCs w:val="24"/>
              </w:rPr>
              <w:t>济源示范区、</w:t>
            </w:r>
            <w:r>
              <w:rPr>
                <w:rFonts w:hint="eastAsia" w:ascii="仿宋_GB2312" w:eastAsia="仿宋_GB2312"/>
                <w:sz w:val="24"/>
              </w:rPr>
              <w:t>省直管县（市）必做</w:t>
            </w:r>
          </w:p>
        </w:tc>
        <w:tc>
          <w:tcPr>
            <w:tcW w:w="1558" w:type="dxa"/>
            <w:vAlign w:val="center"/>
          </w:tcPr>
          <w:p>
            <w:pPr>
              <w:pStyle w:val="7"/>
              <w:spacing w:line="500" w:lineRule="exact"/>
              <w:jc w:val="center"/>
              <w:rPr>
                <w:rFonts w:ascii="Times New Roman"/>
                <w:sz w:val="24"/>
                <w:szCs w:val="28"/>
              </w:rPr>
            </w:pPr>
            <w:r>
              <w:rPr>
                <w:rFonts w:ascii="Times New Roman"/>
                <w:sz w:val="24"/>
                <w:szCs w:val="28"/>
              </w:rPr>
              <w:t>年内有</w:t>
            </w:r>
          </w:p>
          <w:p>
            <w:pPr>
              <w:pStyle w:val="7"/>
              <w:spacing w:line="500" w:lineRule="exact"/>
              <w:jc w:val="center"/>
              <w:rPr>
                <w:rFonts w:ascii="Times New Roman"/>
                <w:sz w:val="24"/>
                <w:szCs w:val="28"/>
              </w:rPr>
            </w:pPr>
            <w:r>
              <w:rPr>
                <w:rFonts w:ascii="Times New Roman"/>
                <w:sz w:val="24"/>
                <w:szCs w:val="28"/>
              </w:rPr>
              <w:t>阶段性</w:t>
            </w:r>
          </w:p>
          <w:p>
            <w:pPr>
              <w:pStyle w:val="7"/>
              <w:spacing w:line="500" w:lineRule="exact"/>
              <w:jc w:val="center"/>
              <w:rPr>
                <w:sz w:val="24"/>
              </w:rPr>
            </w:pPr>
            <w:r>
              <w:rPr>
                <w:rFonts w:ascii="Times New Roman"/>
                <w:sz w:val="24"/>
                <w:szCs w:val="28"/>
              </w:rPr>
              <w:t>成果</w:t>
            </w:r>
          </w:p>
        </w:tc>
      </w:tr>
    </w:tbl>
    <w:p>
      <w:pPr>
        <w:spacing w:line="268" w:lineRule="auto"/>
        <w:sectPr>
          <w:pgSz w:w="16840" w:h="11910" w:orient="landscape"/>
          <w:pgMar w:top="1100" w:right="940" w:bottom="1500" w:left="780" w:header="0" w:footer="1313" w:gutter="0"/>
          <w:cols w:space="720" w:num="1"/>
        </w:sectPr>
      </w:pPr>
    </w:p>
    <w:p>
      <w:pPr>
        <w:pStyle w:val="2"/>
        <w:ind w:left="5250"/>
        <w:rPr>
          <w:rFonts w:ascii="Times New Roman"/>
          <w:sz w:val="20"/>
        </w:r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126"/>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6" w:hRule="atLeast"/>
        </w:trPr>
        <w:tc>
          <w:tcPr>
            <w:tcW w:w="2835" w:type="dxa"/>
            <w:vAlign w:val="center"/>
          </w:tcPr>
          <w:p>
            <w:pPr>
              <w:pStyle w:val="7"/>
              <w:spacing w:line="520" w:lineRule="exact"/>
              <w:ind w:left="107" w:right="44"/>
              <w:jc w:val="left"/>
              <w:rPr>
                <w:sz w:val="24"/>
              </w:rPr>
            </w:pPr>
            <w:r>
              <w:rPr>
                <w:rFonts w:hint="eastAsia"/>
                <w:sz w:val="24"/>
              </w:rPr>
              <w:t>12.实施商标、地理标志区域品牌培育行动</w:t>
            </w:r>
          </w:p>
        </w:tc>
        <w:tc>
          <w:tcPr>
            <w:tcW w:w="8368" w:type="dxa"/>
            <w:vAlign w:val="center"/>
          </w:tcPr>
          <w:p>
            <w:pPr>
              <w:pStyle w:val="7"/>
              <w:spacing w:line="520" w:lineRule="exact"/>
              <w:ind w:left="107" w:right="43" w:firstLine="480" w:firstLineChars="200"/>
              <w:jc w:val="left"/>
              <w:rPr>
                <w:sz w:val="24"/>
              </w:rPr>
            </w:pPr>
            <w:r>
              <w:rPr>
                <w:rFonts w:hint="eastAsia"/>
                <w:sz w:val="24"/>
              </w:rPr>
              <w:t>建立区域商标品牌发展的工作机制，制定促进区域商标品牌发展的支持政策，加强区域商标品牌培育的服务体系建设，打造一批特色鲜明、竞争力强、市场信誉好的区域商标品牌。制定本地区地理标志运用促进工程实施方案，</w:t>
            </w:r>
            <w:r>
              <w:rPr>
                <w:rFonts w:hint="eastAsia"/>
                <w:sz w:val="24"/>
                <w:szCs w:val="28"/>
              </w:rPr>
              <w:t>深入开展地理标志精准扶贫和商标富农工作，</w:t>
            </w:r>
            <w:r>
              <w:rPr>
                <w:rFonts w:hint="eastAsia"/>
                <w:sz w:val="24"/>
              </w:rPr>
              <w:t>积极开展项目试点。充分挖掘地理标志经济效能，推动产业发展与特色资源融合，培育一批商标和地理标志区域品牌。</w:t>
            </w:r>
          </w:p>
        </w:tc>
        <w:tc>
          <w:tcPr>
            <w:tcW w:w="2126" w:type="dxa"/>
            <w:vAlign w:val="center"/>
          </w:tcPr>
          <w:p>
            <w:pPr>
              <w:pStyle w:val="7"/>
              <w:spacing w:line="520" w:lineRule="exact"/>
              <w:ind w:right="42"/>
              <w:jc w:val="center"/>
              <w:rPr>
                <w:strike/>
                <w:spacing w:val="-8"/>
                <w:sz w:val="24"/>
              </w:rPr>
            </w:pPr>
            <w:r>
              <w:rPr>
                <w:rFonts w:hint="eastAsia"/>
                <w:spacing w:val="-8"/>
                <w:sz w:val="24"/>
              </w:rPr>
              <w:t>省级：知识产权促进处、知识产权保护处</w:t>
            </w:r>
          </w:p>
          <w:p>
            <w:pPr>
              <w:pStyle w:val="7"/>
              <w:spacing w:line="520" w:lineRule="exact"/>
              <w:ind w:left="107" w:right="42" w:firstLine="559"/>
              <w:jc w:val="center"/>
              <w:rPr>
                <w:spacing w:val="-8"/>
                <w:sz w:val="24"/>
              </w:rPr>
            </w:pPr>
          </w:p>
          <w:p>
            <w:pPr>
              <w:spacing w:line="520" w:lineRule="exact"/>
              <w:jc w:val="center"/>
              <w:rPr>
                <w:rFonts w:ascii="仿宋_GB2312" w:eastAsia="仿宋_GB2312"/>
                <w:sz w:val="24"/>
              </w:rPr>
            </w:pPr>
            <w:r>
              <w:rPr>
                <w:rFonts w:hint="eastAsia" w:ascii="仿宋_GB2312" w:eastAsia="仿宋_GB2312"/>
                <w:spacing w:val="-8"/>
                <w:sz w:val="24"/>
              </w:rPr>
              <w:t>地市：各省辖市、</w:t>
            </w:r>
            <w:r>
              <w:rPr>
                <w:rFonts w:hint="eastAsia" w:ascii="仿宋_GB2312" w:eastAsia="仿宋_GB2312"/>
                <w:sz w:val="24"/>
                <w:szCs w:val="24"/>
              </w:rPr>
              <w:t>济源示范区、</w:t>
            </w:r>
            <w:r>
              <w:rPr>
                <w:rFonts w:hint="eastAsia" w:ascii="仿宋_GB2312" w:eastAsia="仿宋_GB2312"/>
                <w:spacing w:val="-8"/>
                <w:sz w:val="24"/>
              </w:rPr>
              <w:t>省直管县（市）必做</w:t>
            </w:r>
          </w:p>
        </w:tc>
        <w:tc>
          <w:tcPr>
            <w:tcW w:w="1558" w:type="dxa"/>
            <w:vAlign w:val="center"/>
          </w:tcPr>
          <w:p>
            <w:pPr>
              <w:pStyle w:val="7"/>
              <w:spacing w:line="520" w:lineRule="exact"/>
              <w:jc w:val="center"/>
              <w:rPr>
                <w:sz w:val="24"/>
                <w:szCs w:val="28"/>
              </w:rPr>
            </w:pPr>
            <w:r>
              <w:rPr>
                <w:rFonts w:hint="eastAsia"/>
                <w:sz w:val="24"/>
                <w:szCs w:val="28"/>
              </w:rPr>
              <w:t>年内有</w:t>
            </w:r>
          </w:p>
          <w:p>
            <w:pPr>
              <w:pStyle w:val="7"/>
              <w:spacing w:line="520" w:lineRule="exact"/>
              <w:jc w:val="center"/>
              <w:rPr>
                <w:sz w:val="24"/>
                <w:szCs w:val="28"/>
              </w:rPr>
            </w:pPr>
            <w:r>
              <w:rPr>
                <w:rFonts w:hint="eastAsia"/>
                <w:sz w:val="24"/>
                <w:szCs w:val="28"/>
              </w:rPr>
              <w:t>阶段性</w:t>
            </w:r>
          </w:p>
          <w:p>
            <w:pPr>
              <w:pStyle w:val="7"/>
              <w:spacing w:line="520" w:lineRule="exact"/>
              <w:jc w:val="center"/>
              <w:rPr>
                <w:sz w:val="24"/>
              </w:rPr>
            </w:pPr>
            <w:r>
              <w:rPr>
                <w:rFonts w:hint="eastAsia"/>
                <w:sz w:val="24"/>
                <w:szCs w:val="28"/>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887" w:type="dxa"/>
            <w:gridSpan w:val="4"/>
            <w:vAlign w:val="top"/>
          </w:tcPr>
          <w:p>
            <w:pPr>
              <w:pStyle w:val="7"/>
              <w:spacing w:before="106" w:line="351" w:lineRule="exact"/>
              <w:ind w:left="5767" w:right="5149"/>
              <w:jc w:val="center"/>
              <w:rPr>
                <w:rFonts w:ascii="黑体" w:eastAsia="黑体"/>
                <w:sz w:val="28"/>
              </w:rPr>
            </w:pPr>
            <w:r>
              <w:rPr>
                <w:rFonts w:hint="eastAsia" w:ascii="黑体" w:eastAsia="黑体"/>
                <w:sz w:val="28"/>
              </w:rPr>
              <w:t>四、提升知识产权公共服务能力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2835" w:type="dxa"/>
            <w:vAlign w:val="center"/>
          </w:tcPr>
          <w:p>
            <w:pPr>
              <w:pStyle w:val="7"/>
              <w:spacing w:line="520" w:lineRule="exact"/>
              <w:ind w:right="43"/>
              <w:jc w:val="left"/>
              <w:rPr>
                <w:sz w:val="24"/>
              </w:rPr>
            </w:pPr>
            <w:r>
              <w:rPr>
                <w:sz w:val="24"/>
              </w:rPr>
              <w:t>13.深化知识产权领域“放管服”改革</w:t>
            </w:r>
          </w:p>
        </w:tc>
        <w:tc>
          <w:tcPr>
            <w:tcW w:w="8368" w:type="dxa"/>
            <w:vAlign w:val="center"/>
          </w:tcPr>
          <w:p>
            <w:pPr>
              <w:pStyle w:val="7"/>
              <w:spacing w:line="520" w:lineRule="exact"/>
              <w:ind w:left="107" w:right="41" w:firstLine="559"/>
              <w:jc w:val="left"/>
              <w:rPr>
                <w:sz w:val="24"/>
              </w:rPr>
            </w:pPr>
            <w:r>
              <w:rPr>
                <w:sz w:val="24"/>
              </w:rPr>
              <w:t>进一步深化知识产权“放管服”改革，整合专利代办处和商标受理窗口，加快建设“一站式”服务大厅，推动实现知识</w:t>
            </w:r>
            <w:r>
              <w:rPr>
                <w:spacing w:val="-15"/>
                <w:sz w:val="24"/>
              </w:rPr>
              <w:t>产权业务申请“一网通办”、知识产权公共服务“最多跑一地”，提</w:t>
            </w:r>
            <w:r>
              <w:rPr>
                <w:sz w:val="24"/>
              </w:rPr>
              <w:t>高知识产权各项事务办理便利化程度。</w:t>
            </w:r>
          </w:p>
        </w:tc>
        <w:tc>
          <w:tcPr>
            <w:tcW w:w="2126" w:type="dxa"/>
            <w:vAlign w:val="center"/>
          </w:tcPr>
          <w:p>
            <w:pPr>
              <w:pStyle w:val="7"/>
              <w:spacing w:line="520" w:lineRule="exact"/>
              <w:ind w:right="42"/>
              <w:jc w:val="center"/>
              <w:rPr>
                <w:spacing w:val="-8"/>
                <w:sz w:val="24"/>
              </w:rPr>
            </w:pPr>
          </w:p>
          <w:p>
            <w:pPr>
              <w:pStyle w:val="7"/>
              <w:spacing w:line="520" w:lineRule="exact"/>
              <w:ind w:right="42"/>
              <w:jc w:val="center"/>
              <w:rPr>
                <w:spacing w:val="-8"/>
                <w:sz w:val="24"/>
              </w:rPr>
            </w:pPr>
          </w:p>
          <w:p>
            <w:pPr>
              <w:pStyle w:val="7"/>
              <w:spacing w:line="520" w:lineRule="exact"/>
              <w:ind w:right="42"/>
              <w:jc w:val="center"/>
              <w:rPr>
                <w:spacing w:val="-8"/>
                <w:sz w:val="24"/>
              </w:rPr>
            </w:pPr>
            <w:r>
              <w:rPr>
                <w:rFonts w:hint="eastAsia"/>
                <w:spacing w:val="-8"/>
                <w:sz w:val="24"/>
              </w:rPr>
              <w:t>省级：知识产权促进处、专利代办处</w:t>
            </w:r>
          </w:p>
          <w:p>
            <w:pPr>
              <w:pStyle w:val="7"/>
              <w:spacing w:line="520" w:lineRule="exact"/>
              <w:jc w:val="center"/>
              <w:rPr>
                <w:rFonts w:ascii="Times New Roman"/>
                <w:sz w:val="24"/>
              </w:rPr>
            </w:pPr>
          </w:p>
          <w:p>
            <w:pPr>
              <w:pStyle w:val="7"/>
              <w:spacing w:line="520" w:lineRule="exact"/>
              <w:ind w:left="107" w:right="43"/>
              <w:jc w:val="center"/>
              <w:rPr>
                <w:sz w:val="24"/>
              </w:rPr>
            </w:pPr>
          </w:p>
        </w:tc>
        <w:tc>
          <w:tcPr>
            <w:tcW w:w="1558" w:type="dxa"/>
            <w:vAlign w:val="center"/>
          </w:tcPr>
          <w:p>
            <w:pPr>
              <w:pStyle w:val="7"/>
              <w:spacing w:line="520" w:lineRule="exact"/>
              <w:jc w:val="center"/>
              <w:rPr>
                <w:rFonts w:ascii="Times New Roman"/>
                <w:sz w:val="24"/>
              </w:rPr>
            </w:pPr>
          </w:p>
          <w:p>
            <w:pPr>
              <w:pStyle w:val="7"/>
              <w:spacing w:line="520" w:lineRule="exact"/>
              <w:jc w:val="center"/>
              <w:rPr>
                <w:rFonts w:ascii="Times New Roman"/>
                <w:sz w:val="24"/>
                <w:szCs w:val="28"/>
              </w:rPr>
            </w:pPr>
            <w:r>
              <w:rPr>
                <w:rFonts w:ascii="Times New Roman"/>
                <w:sz w:val="24"/>
                <w:szCs w:val="28"/>
              </w:rPr>
              <w:t>年内有</w:t>
            </w:r>
          </w:p>
          <w:p>
            <w:pPr>
              <w:pStyle w:val="7"/>
              <w:spacing w:line="520" w:lineRule="exact"/>
              <w:jc w:val="center"/>
              <w:rPr>
                <w:rFonts w:ascii="Times New Roman"/>
                <w:sz w:val="24"/>
                <w:szCs w:val="28"/>
              </w:rPr>
            </w:pPr>
            <w:r>
              <w:rPr>
                <w:rFonts w:ascii="Times New Roman"/>
                <w:sz w:val="24"/>
                <w:szCs w:val="28"/>
              </w:rPr>
              <w:t>阶段性</w:t>
            </w:r>
          </w:p>
          <w:p>
            <w:pPr>
              <w:pStyle w:val="7"/>
              <w:spacing w:line="520" w:lineRule="exact"/>
              <w:jc w:val="center"/>
              <w:rPr>
                <w:sz w:val="24"/>
              </w:rPr>
            </w:pPr>
            <w:r>
              <w:rPr>
                <w:rFonts w:ascii="Times New Roman"/>
                <w:sz w:val="24"/>
                <w:szCs w:val="28"/>
              </w:rPr>
              <w:t>成果</w:t>
            </w:r>
          </w:p>
        </w:tc>
      </w:tr>
    </w:tbl>
    <w:p>
      <w:pPr>
        <w:spacing w:line="266"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126"/>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2835" w:type="dxa"/>
            <w:vAlign w:val="center"/>
          </w:tcPr>
          <w:p>
            <w:pPr>
              <w:pStyle w:val="7"/>
              <w:spacing w:line="500" w:lineRule="exact"/>
              <w:jc w:val="center"/>
              <w:rPr>
                <w:rFonts w:ascii="Times New Roman"/>
                <w:sz w:val="24"/>
              </w:rPr>
            </w:pPr>
          </w:p>
          <w:p>
            <w:pPr>
              <w:pStyle w:val="7"/>
              <w:spacing w:line="500" w:lineRule="exact"/>
              <w:ind w:left="107" w:right="44"/>
              <w:jc w:val="left"/>
              <w:rPr>
                <w:sz w:val="24"/>
              </w:rPr>
            </w:pPr>
            <w:r>
              <w:rPr>
                <w:sz w:val="24"/>
              </w:rPr>
              <w:t>14.完善知识产权公共服务体系</w:t>
            </w:r>
          </w:p>
        </w:tc>
        <w:tc>
          <w:tcPr>
            <w:tcW w:w="8368" w:type="dxa"/>
            <w:vAlign w:val="center"/>
          </w:tcPr>
          <w:p>
            <w:pPr>
              <w:spacing w:line="500" w:lineRule="exact"/>
              <w:ind w:firstLine="480" w:firstLineChars="200"/>
              <w:rPr>
                <w:rFonts w:ascii="仿宋_GB2312" w:eastAsia="仿宋_GB2312"/>
                <w:sz w:val="24"/>
                <w:szCs w:val="24"/>
              </w:rPr>
            </w:pPr>
            <w:r>
              <w:rPr>
                <w:rFonts w:hint="eastAsia" w:ascii="仿宋_GB2312" w:eastAsia="仿宋_GB2312"/>
                <w:sz w:val="24"/>
                <w:szCs w:val="24"/>
              </w:rPr>
              <w:t>统筹本地知识产权信息公共服务体系建设，建设我省全国专利文献服务网点、世界知识产权组织技术创新支持中心（TISC）和高校知识产权信息服务中心，完善知识产权信息公共服务体系。加强对我省获批TISC 承办机构的工作指导和资源保障，充分发挥 TISC 机构作用，进一步推动所在地方技术与创新国际交流合作。</w:t>
            </w:r>
          </w:p>
          <w:p>
            <w:pPr>
              <w:spacing w:line="500" w:lineRule="exact"/>
              <w:ind w:firstLine="480" w:firstLineChars="200"/>
            </w:pPr>
            <w:r>
              <w:rPr>
                <w:rFonts w:hint="eastAsia" w:ascii="仿宋_GB2312" w:eastAsia="仿宋_GB2312"/>
                <w:sz w:val="24"/>
                <w:szCs w:val="24"/>
              </w:rPr>
              <w:t>强化公共服务机构职能，依托各类信息服务网点、高等学校、图书情报机构等公益单位加强知识产权基础信息利用的宣讲培训工作。</w:t>
            </w:r>
          </w:p>
        </w:tc>
        <w:tc>
          <w:tcPr>
            <w:tcW w:w="2126" w:type="dxa"/>
            <w:vAlign w:val="center"/>
          </w:tcPr>
          <w:p>
            <w:pPr>
              <w:spacing w:line="540" w:lineRule="exact"/>
              <w:rPr>
                <w:rFonts w:ascii="仿宋_GB2312" w:eastAsia="仿宋_GB2312"/>
                <w:sz w:val="24"/>
                <w:szCs w:val="24"/>
              </w:rPr>
            </w:pPr>
          </w:p>
          <w:p>
            <w:pPr>
              <w:spacing w:line="540" w:lineRule="exact"/>
              <w:rPr>
                <w:rFonts w:ascii="仿宋_GB2312" w:eastAsia="仿宋_GB2312"/>
                <w:sz w:val="24"/>
                <w:szCs w:val="24"/>
              </w:rPr>
            </w:pPr>
            <w:r>
              <w:rPr>
                <w:rFonts w:hint="eastAsia" w:ascii="仿宋_GB2312" w:eastAsia="仿宋_GB2312"/>
                <w:sz w:val="24"/>
                <w:szCs w:val="24"/>
              </w:rPr>
              <w:t>省级：知识产权促进处、协调管理处</w:t>
            </w:r>
          </w:p>
          <w:p>
            <w:pPr>
              <w:spacing w:line="540" w:lineRule="exact"/>
              <w:rPr>
                <w:rFonts w:ascii="仿宋_GB2312" w:eastAsia="仿宋_GB2312"/>
                <w:sz w:val="24"/>
                <w:szCs w:val="24"/>
              </w:rPr>
            </w:pPr>
            <w:r>
              <w:rPr>
                <w:rFonts w:hint="eastAsia" w:ascii="仿宋_GB2312" w:eastAsia="仿宋_GB2312"/>
                <w:sz w:val="24"/>
                <w:szCs w:val="24"/>
              </w:rPr>
              <w:t>地市：有条件的省辖市、省直管县（市）必做</w:t>
            </w:r>
          </w:p>
          <w:p>
            <w:pPr>
              <w:spacing w:line="540" w:lineRule="exact"/>
              <w:rPr>
                <w:rFonts w:ascii="仿宋_GB2312" w:eastAsia="仿宋_GB2312"/>
                <w:sz w:val="24"/>
                <w:szCs w:val="24"/>
              </w:rPr>
            </w:pPr>
          </w:p>
        </w:tc>
        <w:tc>
          <w:tcPr>
            <w:tcW w:w="1558" w:type="dxa"/>
            <w:vAlign w:val="center"/>
          </w:tcPr>
          <w:p>
            <w:pPr>
              <w:spacing w:line="540" w:lineRule="exact"/>
              <w:jc w:val="center"/>
              <w:rPr>
                <w:rFonts w:ascii="仿宋_GB2312" w:eastAsia="仿宋_GB2312"/>
                <w:sz w:val="24"/>
                <w:szCs w:val="24"/>
              </w:rPr>
            </w:pPr>
            <w:r>
              <w:rPr>
                <w:rFonts w:hint="eastAsia" w:ascii="仿宋_GB2312" w:eastAsia="仿宋_GB2312"/>
                <w:sz w:val="24"/>
                <w:szCs w:val="24"/>
              </w:rPr>
              <w:t>年内有</w:t>
            </w:r>
          </w:p>
          <w:p>
            <w:pPr>
              <w:spacing w:line="540" w:lineRule="exact"/>
              <w:jc w:val="center"/>
              <w:rPr>
                <w:rFonts w:ascii="仿宋_GB2312" w:eastAsia="仿宋_GB2312"/>
                <w:sz w:val="24"/>
                <w:szCs w:val="24"/>
              </w:rPr>
            </w:pPr>
            <w:r>
              <w:rPr>
                <w:rFonts w:hint="eastAsia" w:ascii="仿宋_GB2312" w:eastAsia="仿宋_GB2312"/>
                <w:sz w:val="24"/>
                <w:szCs w:val="24"/>
              </w:rPr>
              <w:t>阶段性</w:t>
            </w:r>
          </w:p>
          <w:p>
            <w:pPr>
              <w:spacing w:line="54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87" w:type="dxa"/>
            <w:gridSpan w:val="4"/>
            <w:vAlign w:val="center"/>
          </w:tcPr>
          <w:p>
            <w:pPr>
              <w:pStyle w:val="7"/>
              <w:spacing w:before="43" w:line="353" w:lineRule="exact"/>
              <w:ind w:left="108"/>
              <w:jc w:val="center"/>
              <w:rPr>
                <w:sz w:val="28"/>
              </w:rPr>
            </w:pPr>
            <w:r>
              <w:rPr>
                <w:rFonts w:hint="eastAsia" w:ascii="黑体" w:eastAsia="黑体"/>
                <w:sz w:val="28"/>
              </w:rPr>
              <w:t>五、深化知识产权国际合作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2835" w:type="dxa"/>
            <w:vAlign w:val="center"/>
          </w:tcPr>
          <w:p>
            <w:pPr>
              <w:pStyle w:val="7"/>
              <w:spacing w:line="540" w:lineRule="exact"/>
              <w:ind w:left="107"/>
              <w:jc w:val="left"/>
              <w:rPr>
                <w:sz w:val="24"/>
              </w:rPr>
            </w:pPr>
            <w:r>
              <w:rPr>
                <w:sz w:val="24"/>
              </w:rPr>
              <w:t>1</w:t>
            </w:r>
            <w:r>
              <w:rPr>
                <w:rFonts w:hint="eastAsia"/>
                <w:sz w:val="24"/>
                <w:lang w:val="en-US"/>
              </w:rPr>
              <w:t>5</w:t>
            </w:r>
            <w:r>
              <w:rPr>
                <w:sz w:val="24"/>
              </w:rPr>
              <w:t>.深化“一带一路”知识产权国际合作</w:t>
            </w:r>
          </w:p>
        </w:tc>
        <w:tc>
          <w:tcPr>
            <w:tcW w:w="8368" w:type="dxa"/>
            <w:vAlign w:val="center"/>
          </w:tcPr>
          <w:p>
            <w:pPr>
              <w:spacing w:line="520" w:lineRule="exact"/>
              <w:ind w:firstLine="480" w:firstLineChars="200"/>
              <w:rPr>
                <w:rFonts w:ascii="仿宋_GB2312" w:eastAsia="仿宋_GB2312"/>
                <w:sz w:val="24"/>
                <w:szCs w:val="24"/>
              </w:rPr>
            </w:pPr>
            <w:r>
              <w:rPr>
                <w:rFonts w:hint="eastAsia" w:ascii="仿宋_GB2312" w:eastAsia="仿宋_GB2312"/>
                <w:sz w:val="24"/>
                <w:szCs w:val="24"/>
              </w:rPr>
              <w:t>紧贴中国（河南）自由贸易试验区建设，促进与自贸区企业间的交流合作，提升企业知识产权意识，培育经济发展新动能，促进中国（河南）自由贸易试验区企业的国际竞争能力。积极引导和支持我省企业加强知识产权海外布局，积极参与我省与“一带一路”沿线国家在知识产权领域的交流合作，开辟国际合作新空间，深化合作内容，促进我省有效利用知识产权促进产业转型升级，营造良好创新和营商环境。</w:t>
            </w:r>
          </w:p>
        </w:tc>
        <w:tc>
          <w:tcPr>
            <w:tcW w:w="2126" w:type="dxa"/>
            <w:vAlign w:val="center"/>
          </w:tcPr>
          <w:p>
            <w:pPr>
              <w:spacing w:line="520" w:lineRule="exact"/>
              <w:rPr>
                <w:rFonts w:ascii="仿宋_GB2312" w:eastAsia="仿宋_GB2312"/>
                <w:sz w:val="24"/>
                <w:szCs w:val="24"/>
              </w:rPr>
            </w:pPr>
            <w:r>
              <w:rPr>
                <w:rFonts w:hint="eastAsia" w:ascii="仿宋_GB2312" w:eastAsia="仿宋_GB2312"/>
                <w:sz w:val="24"/>
                <w:szCs w:val="24"/>
              </w:rPr>
              <w:t>省级：知识产权促进处、办公室、协调管理处、专利代办处</w:t>
            </w:r>
          </w:p>
          <w:p>
            <w:pPr>
              <w:spacing w:line="520" w:lineRule="exact"/>
              <w:rPr>
                <w:rFonts w:ascii="仿宋_GB2312" w:eastAsia="仿宋_GB2312"/>
                <w:sz w:val="24"/>
                <w:szCs w:val="24"/>
              </w:rPr>
            </w:pPr>
            <w:r>
              <w:rPr>
                <w:rFonts w:hint="eastAsia" w:ascii="仿宋_GB2312" w:eastAsia="仿宋_GB2312"/>
                <w:sz w:val="24"/>
                <w:szCs w:val="24"/>
              </w:rPr>
              <w:t>地市：涉及地市必做</w:t>
            </w:r>
          </w:p>
        </w:tc>
        <w:tc>
          <w:tcPr>
            <w:tcW w:w="1558"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年内有</w:t>
            </w:r>
          </w:p>
          <w:p>
            <w:pPr>
              <w:spacing w:line="520" w:lineRule="exact"/>
              <w:jc w:val="center"/>
              <w:rPr>
                <w:rFonts w:ascii="仿宋_GB2312" w:eastAsia="仿宋_GB2312"/>
                <w:sz w:val="24"/>
                <w:szCs w:val="24"/>
              </w:rPr>
            </w:pPr>
            <w:r>
              <w:rPr>
                <w:rFonts w:hint="eastAsia" w:ascii="仿宋_GB2312" w:eastAsia="仿宋_GB2312"/>
                <w:sz w:val="24"/>
                <w:szCs w:val="24"/>
              </w:rPr>
              <w:t>阶段性</w:t>
            </w:r>
          </w:p>
          <w:p>
            <w:pPr>
              <w:spacing w:line="520" w:lineRule="exact"/>
              <w:jc w:val="center"/>
              <w:rPr>
                <w:rFonts w:ascii="仿宋_GB2312" w:eastAsia="仿宋_GB2312"/>
                <w:sz w:val="24"/>
                <w:szCs w:val="24"/>
              </w:rPr>
            </w:pPr>
            <w:r>
              <w:rPr>
                <w:rFonts w:hint="eastAsia" w:ascii="仿宋_GB2312" w:eastAsia="仿宋_GB2312"/>
                <w:sz w:val="24"/>
                <w:szCs w:val="24"/>
              </w:rPr>
              <w:t>成果</w:t>
            </w:r>
          </w:p>
        </w:tc>
      </w:tr>
    </w:tbl>
    <w:p>
      <w:pPr>
        <w:sectPr>
          <w:pgSz w:w="16840" w:h="11910" w:orient="landscape"/>
          <w:pgMar w:top="1100" w:right="940" w:bottom="1500" w:left="780" w:header="0" w:footer="1313" w:gutter="0"/>
          <w:cols w:space="720" w:num="1"/>
        </w:sectPr>
      </w:pPr>
    </w:p>
    <w:tbl>
      <w:tblPr>
        <w:tblStyle w:val="5"/>
        <w:tblW w:w="14884" w:type="dxa"/>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9"/>
        <w:gridCol w:w="7630"/>
        <w:gridCol w:w="212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569" w:type="dxa"/>
            <w:vAlign w:val="top"/>
          </w:tcPr>
          <w:p>
            <w:pPr>
              <w:pStyle w:val="7"/>
              <w:spacing w:before="84" w:line="351" w:lineRule="exact"/>
              <w:ind w:left="666"/>
              <w:jc w:val="left"/>
              <w:rPr>
                <w:rFonts w:ascii="黑体" w:eastAsia="黑体"/>
                <w:sz w:val="28"/>
              </w:rPr>
            </w:pPr>
            <w:r>
              <w:rPr>
                <w:rFonts w:hint="eastAsia" w:ascii="黑体" w:eastAsia="黑体"/>
                <w:sz w:val="28"/>
              </w:rPr>
              <w:t>任务清单</w:t>
            </w:r>
          </w:p>
        </w:tc>
        <w:tc>
          <w:tcPr>
            <w:tcW w:w="7630" w:type="dxa"/>
            <w:vAlign w:val="top"/>
          </w:tcPr>
          <w:p>
            <w:pPr>
              <w:pStyle w:val="7"/>
              <w:spacing w:before="84" w:line="351" w:lineRule="exact"/>
              <w:ind w:right="3290" w:firstLine="3080" w:firstLineChars="110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jc w:val="center"/>
              <w:rPr>
                <w:rFonts w:ascii="黑体" w:eastAsia="黑体"/>
                <w:sz w:val="28"/>
              </w:rPr>
            </w:pPr>
            <w:r>
              <w:rPr>
                <w:rFonts w:hint="eastAsia" w:ascii="黑体" w:eastAsia="黑体"/>
                <w:sz w:val="28"/>
              </w:rPr>
              <w:t>执行部门</w:t>
            </w:r>
          </w:p>
        </w:tc>
        <w:tc>
          <w:tcPr>
            <w:tcW w:w="1559" w:type="dxa"/>
            <w:vAlign w:val="top"/>
          </w:tcPr>
          <w:p>
            <w:pPr>
              <w:pStyle w:val="7"/>
              <w:spacing w:before="84" w:line="351" w:lineRule="exact"/>
              <w:ind w:left="108"/>
              <w:jc w:val="center"/>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trPr>
        <w:tc>
          <w:tcPr>
            <w:tcW w:w="3569" w:type="dxa"/>
            <w:vAlign w:val="center"/>
          </w:tcPr>
          <w:p>
            <w:pPr>
              <w:spacing w:line="480" w:lineRule="exact"/>
              <w:rPr>
                <w:sz w:val="24"/>
                <w:szCs w:val="24"/>
              </w:rPr>
            </w:pPr>
            <w:r>
              <w:rPr>
                <w:rFonts w:hint="eastAsia" w:ascii="仿宋_GB2312" w:hAnsi="仿宋_GB2312" w:eastAsia="仿宋_GB2312" w:cs="仿宋_GB2312"/>
                <w:sz w:val="24"/>
                <w:szCs w:val="24"/>
                <w:lang w:bidi="zh-CN"/>
              </w:rPr>
              <w:t>16.完善知识产权国际合作格局</w:t>
            </w:r>
          </w:p>
        </w:tc>
        <w:tc>
          <w:tcPr>
            <w:tcW w:w="7630" w:type="dxa"/>
            <w:vAlign w:val="center"/>
          </w:tcPr>
          <w:p>
            <w:pPr>
              <w:spacing w:line="500" w:lineRule="exact"/>
              <w:ind w:firstLine="480" w:firstLineChars="200"/>
              <w:rPr>
                <w:rFonts w:ascii="仿宋_GB2312" w:eastAsia="仿宋_GB2312"/>
                <w:sz w:val="24"/>
                <w:szCs w:val="24"/>
              </w:rPr>
            </w:pPr>
            <w:r>
              <w:rPr>
                <w:rFonts w:hint="eastAsia" w:ascii="仿宋_GB2312" w:eastAsia="仿宋_GB2312"/>
                <w:sz w:val="24"/>
                <w:szCs w:val="24"/>
              </w:rPr>
              <w:t>搭建我省知识产权对外交流合作平台，依托国家知识产权局承办国际组织来豫开展知识产权国际交流活动、会议、访问和考察等事务。及时跟进我省外事部门有关政策，适时推进我局外事出访团组计划，提升我省在知识产权领域的国际关注度，培养具有国际竞争力、满足经济社会发展需要的知识产权国际型人才。</w:t>
            </w:r>
          </w:p>
        </w:tc>
        <w:tc>
          <w:tcPr>
            <w:tcW w:w="2126" w:type="dxa"/>
            <w:vAlign w:val="center"/>
          </w:tcPr>
          <w:p>
            <w:pPr>
              <w:spacing w:line="500" w:lineRule="exact"/>
              <w:rPr>
                <w:rFonts w:ascii="仿宋_GB2312" w:eastAsia="仿宋_GB2312"/>
                <w:sz w:val="24"/>
                <w:szCs w:val="24"/>
              </w:rPr>
            </w:pPr>
            <w:r>
              <w:rPr>
                <w:rFonts w:hint="eastAsia" w:ascii="仿宋_GB2312" w:eastAsia="仿宋_GB2312"/>
                <w:sz w:val="24"/>
                <w:szCs w:val="24"/>
              </w:rPr>
              <w:t>省级：知识产权促进处、知识产权保护处、办公室</w:t>
            </w:r>
          </w:p>
        </w:tc>
        <w:tc>
          <w:tcPr>
            <w:tcW w:w="1559" w:type="dxa"/>
            <w:vAlign w:val="center"/>
          </w:tcPr>
          <w:p>
            <w:pPr>
              <w:spacing w:line="500" w:lineRule="exact"/>
              <w:jc w:val="center"/>
              <w:rPr>
                <w:rFonts w:ascii="仿宋_GB2312" w:eastAsia="仿宋_GB2312"/>
                <w:sz w:val="24"/>
                <w:szCs w:val="24"/>
              </w:rPr>
            </w:pPr>
            <w:r>
              <w:rPr>
                <w:rFonts w:hint="eastAsia" w:ascii="仿宋_GB2312" w:eastAsia="仿宋_GB2312"/>
                <w:sz w:val="24"/>
                <w:szCs w:val="24"/>
              </w:rPr>
              <w:t>年内有</w:t>
            </w:r>
          </w:p>
          <w:p>
            <w:pPr>
              <w:spacing w:line="500" w:lineRule="exact"/>
              <w:jc w:val="center"/>
              <w:rPr>
                <w:rFonts w:ascii="仿宋_GB2312" w:eastAsia="仿宋_GB2312"/>
                <w:sz w:val="24"/>
                <w:szCs w:val="24"/>
              </w:rPr>
            </w:pPr>
            <w:r>
              <w:rPr>
                <w:rFonts w:hint="eastAsia" w:ascii="仿宋_GB2312" w:eastAsia="仿宋_GB2312"/>
                <w:sz w:val="24"/>
                <w:szCs w:val="24"/>
              </w:rPr>
              <w:t>阶段性</w:t>
            </w:r>
          </w:p>
          <w:p>
            <w:pPr>
              <w:spacing w:line="50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884" w:type="dxa"/>
            <w:gridSpan w:val="4"/>
            <w:vAlign w:val="center"/>
          </w:tcPr>
          <w:p>
            <w:pPr>
              <w:pStyle w:val="7"/>
              <w:spacing w:before="21"/>
              <w:ind w:left="108"/>
              <w:jc w:val="center"/>
              <w:rPr>
                <w:sz w:val="28"/>
              </w:rPr>
            </w:pPr>
            <w:r>
              <w:rPr>
                <w:rFonts w:hint="eastAsia" w:ascii="黑体" w:eastAsia="黑体"/>
                <w:sz w:val="28"/>
              </w:rPr>
              <w:t>六、知识产权事业综合保障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8" w:hRule="atLeast"/>
        </w:trPr>
        <w:tc>
          <w:tcPr>
            <w:tcW w:w="3569" w:type="dxa"/>
            <w:vAlign w:val="center"/>
          </w:tcPr>
          <w:p>
            <w:pPr>
              <w:pStyle w:val="7"/>
              <w:spacing w:line="480" w:lineRule="exact"/>
              <w:ind w:left="107"/>
              <w:jc w:val="left"/>
              <w:rPr>
                <w:sz w:val="24"/>
              </w:rPr>
            </w:pPr>
            <w:r>
              <w:rPr>
                <w:rFonts w:hint="eastAsia"/>
                <w:sz w:val="24"/>
                <w:lang w:val="en-US"/>
              </w:rPr>
              <w:t>17.</w:t>
            </w:r>
            <w:r>
              <w:rPr>
                <w:sz w:val="24"/>
              </w:rPr>
              <w:t>加强知识产权文化建设</w:t>
            </w:r>
          </w:p>
        </w:tc>
        <w:tc>
          <w:tcPr>
            <w:tcW w:w="7630" w:type="dxa"/>
            <w:vAlign w:val="center"/>
          </w:tcPr>
          <w:p>
            <w:pPr>
              <w:spacing w:line="460" w:lineRule="exact"/>
              <w:ind w:firstLine="480" w:firstLineChars="200"/>
              <w:rPr>
                <w:rFonts w:ascii="仿宋_GB2312" w:eastAsia="仿宋_GB2312"/>
                <w:sz w:val="24"/>
                <w:szCs w:val="24"/>
              </w:rPr>
            </w:pPr>
            <w:r>
              <w:rPr>
                <w:rFonts w:hint="eastAsia" w:ascii="仿宋_GB2312" w:eastAsia="仿宋_GB2312"/>
                <w:sz w:val="24"/>
                <w:szCs w:val="24"/>
              </w:rPr>
              <w:t>搭建权威高效的知识产权传播平台，加大知识产权重要事项重大决策部署宣传力度，强化知识产权各项工作的质量导向，做好知识产权强省建设成就、贯彻落实《关于强化知识产权保护的意见》、河南省第二届专利奖、专利周、高价值专利培育、知识产权质押融资和运营等重点工作的宣传报道，提升世界知识产权日、中国品牌日、中国专利周等品牌活动的影响力。</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继续规范开展中小学普及教育试点示范工作，面向在校师生开设系列线上培训课程，提升校园知识产权意识。开展“知识产权助推经济高质量发展”主题知识产权巡讲等，促进知识产权进学校、进企业、进社区、进农村，提升知识产权工作舆论宣传覆盖面。</w:t>
            </w:r>
          </w:p>
        </w:tc>
        <w:tc>
          <w:tcPr>
            <w:tcW w:w="2126" w:type="dxa"/>
            <w:vAlign w:val="center"/>
          </w:tcPr>
          <w:p>
            <w:pPr>
              <w:spacing w:line="520" w:lineRule="exact"/>
              <w:rPr>
                <w:rFonts w:hint="eastAsia" w:ascii="仿宋_GB2312" w:eastAsia="仿宋_GB2312"/>
                <w:sz w:val="24"/>
                <w:szCs w:val="24"/>
              </w:rPr>
            </w:pPr>
            <w:r>
              <w:rPr>
                <w:rFonts w:hint="eastAsia" w:ascii="仿宋_GB2312" w:eastAsia="仿宋_GB2312"/>
                <w:sz w:val="24"/>
                <w:szCs w:val="24"/>
              </w:rPr>
              <w:t>省级：知识产权促进处、办公室、规划发展处</w:t>
            </w:r>
          </w:p>
          <w:p>
            <w:pPr>
              <w:spacing w:line="520" w:lineRule="exact"/>
              <w:rPr>
                <w:rFonts w:ascii="仿宋_GB2312" w:eastAsia="仿宋_GB2312"/>
                <w:sz w:val="24"/>
                <w:szCs w:val="24"/>
              </w:rPr>
            </w:pPr>
          </w:p>
          <w:p>
            <w:pPr>
              <w:spacing w:line="52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55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年内有</w:t>
            </w:r>
          </w:p>
          <w:p>
            <w:pPr>
              <w:spacing w:line="520" w:lineRule="exact"/>
              <w:jc w:val="center"/>
              <w:rPr>
                <w:rFonts w:ascii="仿宋_GB2312" w:eastAsia="仿宋_GB2312"/>
                <w:sz w:val="24"/>
                <w:szCs w:val="24"/>
              </w:rPr>
            </w:pPr>
            <w:r>
              <w:rPr>
                <w:rFonts w:hint="eastAsia" w:ascii="仿宋_GB2312" w:eastAsia="仿宋_GB2312"/>
                <w:sz w:val="24"/>
                <w:szCs w:val="24"/>
              </w:rPr>
              <w:t>阶段性</w:t>
            </w:r>
          </w:p>
          <w:p>
            <w:pPr>
              <w:spacing w:line="52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569"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7630" w:type="dxa"/>
            <w:vAlign w:val="top"/>
          </w:tcPr>
          <w:p>
            <w:pPr>
              <w:pStyle w:val="7"/>
              <w:spacing w:before="84" w:line="351" w:lineRule="exact"/>
              <w:ind w:right="3290"/>
              <w:jc w:val="right"/>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9"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7" w:hRule="atLeast"/>
        </w:trPr>
        <w:tc>
          <w:tcPr>
            <w:tcW w:w="3569" w:type="dxa"/>
            <w:vAlign w:val="center"/>
          </w:tcPr>
          <w:p>
            <w:pPr>
              <w:pStyle w:val="7"/>
              <w:spacing w:before="198" w:line="268" w:lineRule="auto"/>
              <w:ind w:left="107" w:right="44"/>
              <w:jc w:val="left"/>
              <w:rPr>
                <w:sz w:val="24"/>
              </w:rPr>
            </w:pPr>
            <w:r>
              <w:rPr>
                <w:sz w:val="24"/>
              </w:rPr>
              <w:t>1</w:t>
            </w:r>
            <w:r>
              <w:rPr>
                <w:rFonts w:hint="eastAsia"/>
                <w:sz w:val="24"/>
                <w:lang w:val="en-US"/>
              </w:rPr>
              <w:t>8</w:t>
            </w:r>
            <w:r>
              <w:rPr>
                <w:sz w:val="24"/>
              </w:rPr>
              <w:t>.加强知识产权人才培养</w:t>
            </w:r>
          </w:p>
        </w:tc>
        <w:tc>
          <w:tcPr>
            <w:tcW w:w="7630" w:type="dxa"/>
            <w:vAlign w:val="center"/>
          </w:tcPr>
          <w:p>
            <w:pPr>
              <w:spacing w:line="560" w:lineRule="exact"/>
              <w:ind w:firstLine="480" w:firstLineChars="200"/>
              <w:rPr>
                <w:rFonts w:ascii="仿宋_GB2312" w:eastAsia="仿宋_GB2312"/>
                <w:sz w:val="24"/>
                <w:szCs w:val="24"/>
              </w:rPr>
            </w:pPr>
            <w:r>
              <w:rPr>
                <w:rFonts w:hint="eastAsia" w:ascii="仿宋_GB2312" w:eastAsia="仿宋_GB2312"/>
                <w:sz w:val="24"/>
                <w:szCs w:val="24"/>
              </w:rPr>
              <w:t>继续推进我省知识产权行政管理人员的相关业务培训，全面提升系统工作人员的政治素质和业务水平。推进知识产权学院共建工作，继续推动设立知识产权专业学位，着力培养知识产权急需紧缺人才。继续稳步开展我省知识产权高层次人才培养。依托知识产权培训基地等资源，大力开展知识产权实务型人才培训。</w:t>
            </w:r>
          </w:p>
          <w:p>
            <w:pPr>
              <w:spacing w:line="560" w:lineRule="exact"/>
              <w:ind w:firstLine="480" w:firstLineChars="200"/>
              <w:rPr>
                <w:rFonts w:ascii="仿宋_GB2312" w:eastAsia="仿宋_GB2312"/>
                <w:sz w:val="24"/>
                <w:szCs w:val="24"/>
              </w:rPr>
            </w:pPr>
            <w:r>
              <w:rPr>
                <w:rFonts w:hint="eastAsia" w:ascii="仿宋_GB2312" w:eastAsia="仿宋_GB2312"/>
                <w:sz w:val="24"/>
                <w:szCs w:val="24"/>
              </w:rPr>
              <w:t>支持和指导辖区内企事业单位与高等院校建立人才培养协作机制。健全知识产权专家咨询委员会工作机制，支持知识产权重大决策和重点工作研究。推进地方性知识产权智库、政府决策知识产权专家库建设。完善软科学研究管理制度和政策，加强高质量发展相关理论和实务研究。</w:t>
            </w:r>
          </w:p>
        </w:tc>
        <w:tc>
          <w:tcPr>
            <w:tcW w:w="2126" w:type="dxa"/>
            <w:vAlign w:val="center"/>
          </w:tcPr>
          <w:p>
            <w:pPr>
              <w:spacing w:line="560" w:lineRule="exact"/>
              <w:rPr>
                <w:rFonts w:ascii="仿宋_GB2312" w:eastAsia="仿宋_GB2312"/>
                <w:sz w:val="24"/>
                <w:szCs w:val="24"/>
              </w:rPr>
            </w:pPr>
            <w:r>
              <w:rPr>
                <w:rFonts w:hint="eastAsia" w:ascii="仿宋_GB2312" w:eastAsia="仿宋_GB2312"/>
                <w:sz w:val="24"/>
                <w:szCs w:val="24"/>
              </w:rPr>
              <w:t>省级：知识产权促进处、知识产权保护处、办公室、规划发展处</w:t>
            </w:r>
          </w:p>
          <w:p>
            <w:pPr>
              <w:spacing w:line="56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559"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rPr>
                <w:rFonts w:ascii="仿宋_GB2312" w:eastAsia="仿宋_GB2312"/>
                <w:sz w:val="24"/>
                <w:szCs w:val="24"/>
              </w:rPr>
            </w:pPr>
            <w:r>
              <w:rPr>
                <w:rFonts w:hint="eastAsia" w:ascii="仿宋_GB2312" w:eastAsia="仿宋_GB2312"/>
                <w:sz w:val="24"/>
                <w:szCs w:val="24"/>
              </w:rPr>
              <w:t>成果</w:t>
            </w:r>
          </w:p>
        </w:tc>
      </w:tr>
    </w:tbl>
    <w:p>
      <w:pPr>
        <w:sectPr>
          <w:pgSz w:w="16840" w:h="11910" w:orient="landscape"/>
          <w:pgMar w:top="1100" w:right="940" w:bottom="1500" w:left="780" w:header="0" w:footer="1313"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F6326"/>
    <w:rsid w:val="37845969"/>
    <w:rsid w:val="3D6F6326"/>
    <w:rsid w:val="4544493E"/>
    <w:rsid w:val="714D6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PMingLiU" w:hAnsi="PMingLiU" w:eastAsia="PMingLiU" w:cs="PMingLiU"/>
      <w:sz w:val="44"/>
      <w:szCs w:val="44"/>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0"/>
    <w:rPr>
      <w:rFonts w:ascii="仿宋_GB2312" w:hAnsi="仿宋_GB2312" w:eastAsia="仿宋_GB2312" w:cs="仿宋_GB2312"/>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2020-06-14T05:15:00Z</dcterms:created>
  <dc:creator>Administrator</dc:creator>
  <cp:lastModifiedBy>Administrator</cp:lastModifiedBy>
  <dcterms:modified xsi:type="dcterms:W3CDTF">2021-01-28T09:36:48Z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